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BA" w:rsidRDefault="00421ABA" w:rsidP="00EA3B77">
      <w:pPr>
        <w:spacing w:line="240" w:lineRule="auto"/>
        <w:contextualSpacing/>
        <w:jc w:val="both"/>
        <w:rPr>
          <w:rFonts w:ascii="Times New Roman" w:hAnsi="Times New Roman" w:cs="Times New Roman"/>
          <w:b/>
        </w:rPr>
      </w:pPr>
      <w:r>
        <w:rPr>
          <w:rFonts w:ascii="Times New Roman" w:hAnsi="Times New Roman" w:cs="Times New Roman"/>
          <w:b/>
          <w:noProof/>
        </w:rPr>
        <w:drawing>
          <wp:inline distT="0" distB="0" distL="0" distR="0" wp14:anchorId="159F3A84" wp14:editId="189494A0">
            <wp:extent cx="5760720" cy="907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png"/>
                    <pic:cNvPicPr/>
                  </pic:nvPicPr>
                  <pic:blipFill>
                    <a:blip r:embed="rId9">
                      <a:extLst>
                        <a:ext uri="{28A0092B-C50C-407E-A947-70E740481C1C}">
                          <a14:useLocalDpi xmlns:a14="http://schemas.microsoft.com/office/drawing/2010/main" val="0"/>
                        </a:ext>
                      </a:extLst>
                    </a:blip>
                    <a:stretch>
                      <a:fillRect/>
                    </a:stretch>
                  </pic:blipFill>
                  <pic:spPr>
                    <a:xfrm>
                      <a:off x="0" y="0"/>
                      <a:ext cx="5760720" cy="907415"/>
                    </a:xfrm>
                    <a:prstGeom prst="rect">
                      <a:avLst/>
                    </a:prstGeom>
                  </pic:spPr>
                </pic:pic>
              </a:graphicData>
            </a:graphic>
          </wp:inline>
        </w:drawing>
      </w:r>
    </w:p>
    <w:p w:rsidR="00421ABA" w:rsidRDefault="00421ABA" w:rsidP="00EA3B77">
      <w:pPr>
        <w:spacing w:line="240" w:lineRule="auto"/>
        <w:contextualSpacing/>
        <w:jc w:val="both"/>
        <w:rPr>
          <w:rFonts w:ascii="Times New Roman" w:hAnsi="Times New Roman" w:cs="Times New Roman"/>
          <w:b/>
        </w:rPr>
      </w:pPr>
    </w:p>
    <w:p w:rsidR="00421ABA" w:rsidRDefault="00421ABA" w:rsidP="00EA3B77">
      <w:pPr>
        <w:spacing w:line="240" w:lineRule="auto"/>
        <w:contextualSpacing/>
        <w:jc w:val="both"/>
        <w:rPr>
          <w:rFonts w:ascii="Times New Roman" w:hAnsi="Times New Roman" w:cs="Times New Roman"/>
          <w:b/>
        </w:rPr>
      </w:pPr>
    </w:p>
    <w:p w:rsidR="00844177" w:rsidRPr="00EA3B77" w:rsidRDefault="00704789" w:rsidP="00EA3B77">
      <w:pPr>
        <w:spacing w:line="240" w:lineRule="auto"/>
        <w:contextualSpacing/>
        <w:jc w:val="both"/>
        <w:rPr>
          <w:rFonts w:ascii="Times New Roman" w:hAnsi="Times New Roman" w:cs="Times New Roman"/>
          <w:b/>
          <w:lang w:val="ro-RO"/>
        </w:rPr>
      </w:pPr>
      <w:r w:rsidRPr="00EA3B77">
        <w:rPr>
          <w:rFonts w:ascii="Times New Roman" w:hAnsi="Times New Roman" w:cs="Times New Roman"/>
          <w:b/>
        </w:rPr>
        <w:t xml:space="preserve">ANALIZA DE </w:t>
      </w:r>
      <w:r w:rsidRPr="00EA3B77">
        <w:rPr>
          <w:rFonts w:ascii="Times New Roman" w:hAnsi="Times New Roman" w:cs="Times New Roman"/>
          <w:b/>
          <w:lang w:val="ro-RO"/>
        </w:rPr>
        <w:t>SITUŢIE – ZIUA INTERNAŢIONALĂ A RADIOLOGIEI</w:t>
      </w:r>
    </w:p>
    <w:p w:rsidR="00C30B50" w:rsidRDefault="00C30B50" w:rsidP="00EA3B77">
      <w:pPr>
        <w:spacing w:line="240" w:lineRule="auto"/>
        <w:ind w:left="2160"/>
        <w:contextualSpacing/>
        <w:jc w:val="both"/>
        <w:rPr>
          <w:rFonts w:ascii="Times New Roman" w:hAnsi="Times New Roman" w:cs="Times New Roman"/>
          <w:b/>
          <w:lang w:val="ro-RO"/>
        </w:rPr>
      </w:pPr>
    </w:p>
    <w:p w:rsidR="00704789" w:rsidRDefault="00844177" w:rsidP="00EA3B77">
      <w:pPr>
        <w:spacing w:line="240" w:lineRule="auto"/>
        <w:ind w:left="2160"/>
        <w:contextualSpacing/>
        <w:jc w:val="both"/>
        <w:rPr>
          <w:rFonts w:ascii="Times New Roman" w:hAnsi="Times New Roman" w:cs="Times New Roman"/>
          <w:b/>
          <w:lang w:val="ro-RO"/>
        </w:rPr>
      </w:pPr>
      <w:r w:rsidRPr="00EA3B77">
        <w:rPr>
          <w:rFonts w:ascii="Times New Roman" w:hAnsi="Times New Roman" w:cs="Times New Roman"/>
          <w:b/>
          <w:lang w:val="ro-RO"/>
        </w:rPr>
        <w:t xml:space="preserve">        </w:t>
      </w:r>
      <w:r w:rsidR="008C3912" w:rsidRPr="00EA3B77">
        <w:rPr>
          <w:rFonts w:ascii="Times New Roman" w:hAnsi="Times New Roman" w:cs="Times New Roman"/>
          <w:b/>
          <w:lang w:val="ro-RO"/>
        </w:rPr>
        <w:tab/>
      </w:r>
      <w:r w:rsidR="00E668B9" w:rsidRPr="00EA3B77">
        <w:rPr>
          <w:rFonts w:ascii="Times New Roman" w:hAnsi="Times New Roman" w:cs="Times New Roman"/>
          <w:b/>
          <w:lang w:val="ro-RO"/>
        </w:rPr>
        <w:t xml:space="preserve"> 8 noiembrie 2019</w:t>
      </w:r>
    </w:p>
    <w:p w:rsidR="00C30B50" w:rsidRDefault="00C30B50" w:rsidP="00EA3B77">
      <w:pPr>
        <w:spacing w:line="240" w:lineRule="auto"/>
        <w:ind w:left="2160"/>
        <w:contextualSpacing/>
        <w:jc w:val="both"/>
        <w:rPr>
          <w:rFonts w:ascii="Times New Roman" w:hAnsi="Times New Roman" w:cs="Times New Roman"/>
          <w:b/>
          <w:lang w:val="ro-RO"/>
        </w:rPr>
      </w:pPr>
    </w:p>
    <w:p w:rsidR="00C30B50" w:rsidRPr="00C30B50" w:rsidRDefault="00C30B50" w:rsidP="00C30B50">
      <w:pPr>
        <w:spacing w:line="240" w:lineRule="auto"/>
        <w:contextualSpacing/>
        <w:jc w:val="both"/>
        <w:rPr>
          <w:rFonts w:ascii="Times New Roman" w:hAnsi="Times New Roman" w:cs="Times New Roman"/>
          <w:b/>
          <w:lang w:val="ro-RO"/>
        </w:rPr>
      </w:pPr>
      <w:r w:rsidRPr="00C30B50">
        <w:rPr>
          <w:rFonts w:ascii="Times New Roman" w:hAnsi="Times New Roman" w:cs="Times New Roman"/>
          <w:b/>
          <w:lang w:val="ro-RO"/>
        </w:rPr>
        <w:t>Cuprins</w:t>
      </w:r>
    </w:p>
    <w:p w:rsidR="00C30B50" w:rsidRPr="00C30B50" w:rsidRDefault="00C30B50" w:rsidP="00C30B50">
      <w:pPr>
        <w:spacing w:line="240" w:lineRule="auto"/>
        <w:contextualSpacing/>
        <w:jc w:val="both"/>
        <w:rPr>
          <w:rFonts w:ascii="Times New Roman" w:hAnsi="Times New Roman" w:cs="Times New Roman"/>
          <w:b/>
          <w:lang w:val="ro-RO"/>
        </w:rPr>
      </w:pPr>
      <w:r w:rsidRPr="00C30B50">
        <w:rPr>
          <w:rFonts w:ascii="Times New Roman" w:hAnsi="Times New Roman" w:cs="Times New Roman"/>
          <w:b/>
          <w:lang w:val="ro-RO"/>
        </w:rPr>
        <w:t xml:space="preserve">a). Date statistice la nivel </w:t>
      </w:r>
      <w:r>
        <w:rPr>
          <w:rFonts w:ascii="Times New Roman" w:hAnsi="Times New Roman" w:cs="Times New Roman"/>
          <w:b/>
          <w:lang w:val="ro-RO"/>
        </w:rPr>
        <w:t xml:space="preserve"> mondial, </w:t>
      </w:r>
      <w:r w:rsidRPr="00C30B50">
        <w:rPr>
          <w:rFonts w:ascii="Times New Roman" w:hAnsi="Times New Roman" w:cs="Times New Roman"/>
          <w:b/>
          <w:lang w:val="ro-RO"/>
        </w:rPr>
        <w:t>european</w:t>
      </w:r>
      <w:r>
        <w:rPr>
          <w:rFonts w:ascii="Times New Roman" w:hAnsi="Times New Roman" w:cs="Times New Roman"/>
          <w:b/>
          <w:lang w:val="ro-RO"/>
        </w:rPr>
        <w:t xml:space="preserve"> şi național </w:t>
      </w:r>
      <w:r w:rsidRPr="00C30B50">
        <w:rPr>
          <w:rFonts w:ascii="Times New Roman" w:hAnsi="Times New Roman" w:cs="Times New Roman"/>
          <w:b/>
          <w:lang w:val="ro-RO"/>
        </w:rPr>
        <w:t xml:space="preserve"> privind nive</w:t>
      </w:r>
      <w:r w:rsidR="002F1FBF">
        <w:rPr>
          <w:rFonts w:ascii="Times New Roman" w:hAnsi="Times New Roman" w:cs="Times New Roman"/>
          <w:b/>
          <w:lang w:val="ro-RO"/>
        </w:rPr>
        <w:t>lul și dinamica fenomenului</w:t>
      </w:r>
    </w:p>
    <w:p w:rsidR="00C30B50" w:rsidRPr="00C30B50" w:rsidRDefault="00C30B50" w:rsidP="00C30B50">
      <w:pPr>
        <w:spacing w:line="240" w:lineRule="auto"/>
        <w:contextualSpacing/>
        <w:jc w:val="both"/>
        <w:rPr>
          <w:rFonts w:ascii="Times New Roman" w:hAnsi="Times New Roman" w:cs="Times New Roman"/>
          <w:b/>
          <w:lang w:val="ro-RO"/>
        </w:rPr>
      </w:pPr>
      <w:r w:rsidRPr="00C30B50">
        <w:rPr>
          <w:rFonts w:ascii="Times New Roman" w:hAnsi="Times New Roman" w:cs="Times New Roman"/>
          <w:b/>
          <w:lang w:val="ro-RO"/>
        </w:rPr>
        <w:t>b). Rezultate relevante din studiile naționale, europ</w:t>
      </w:r>
      <w:r w:rsidR="002F1FBF">
        <w:rPr>
          <w:rFonts w:ascii="Times New Roman" w:hAnsi="Times New Roman" w:cs="Times New Roman"/>
          <w:b/>
          <w:lang w:val="ro-RO"/>
        </w:rPr>
        <w:t xml:space="preserve">ene și internaționale </w:t>
      </w:r>
      <w:r w:rsidR="002418D8">
        <w:rPr>
          <w:rFonts w:ascii="Times New Roman" w:hAnsi="Times New Roman" w:cs="Times New Roman"/>
          <w:b/>
          <w:lang w:val="ro-RO"/>
        </w:rPr>
        <w:t xml:space="preserve"> </w:t>
      </w:r>
    </w:p>
    <w:p w:rsidR="00C30B50" w:rsidRPr="00C30B50" w:rsidRDefault="00C30B50" w:rsidP="00C30B50">
      <w:pPr>
        <w:spacing w:line="240" w:lineRule="auto"/>
        <w:contextualSpacing/>
        <w:jc w:val="both"/>
        <w:rPr>
          <w:rFonts w:ascii="Times New Roman" w:hAnsi="Times New Roman" w:cs="Times New Roman"/>
          <w:b/>
          <w:lang w:val="ro-RO"/>
        </w:rPr>
      </w:pPr>
      <w:r w:rsidRPr="00C30B50">
        <w:rPr>
          <w:rFonts w:ascii="Times New Roman" w:hAnsi="Times New Roman" w:cs="Times New Roman"/>
          <w:b/>
          <w:lang w:val="ro-RO"/>
        </w:rPr>
        <w:t>c). Factorii de risc, Mecanismul de acți</w:t>
      </w:r>
      <w:r w:rsidR="002F1FBF">
        <w:rPr>
          <w:rFonts w:ascii="Times New Roman" w:hAnsi="Times New Roman" w:cs="Times New Roman"/>
          <w:b/>
          <w:lang w:val="ro-RO"/>
        </w:rPr>
        <w:t>une</w:t>
      </w:r>
      <w:r w:rsidR="002418D8">
        <w:rPr>
          <w:rFonts w:ascii="Times New Roman" w:hAnsi="Times New Roman" w:cs="Times New Roman"/>
          <w:b/>
          <w:lang w:val="ro-RO"/>
        </w:rPr>
        <w:t xml:space="preserve"> </w:t>
      </w:r>
    </w:p>
    <w:p w:rsidR="00C30B50" w:rsidRPr="00C30B50" w:rsidRDefault="00C30B50" w:rsidP="00C30B50">
      <w:pPr>
        <w:spacing w:line="240" w:lineRule="auto"/>
        <w:contextualSpacing/>
        <w:jc w:val="both"/>
        <w:rPr>
          <w:rFonts w:ascii="Times New Roman" w:hAnsi="Times New Roman" w:cs="Times New Roman"/>
          <w:b/>
          <w:lang w:val="ro-RO"/>
        </w:rPr>
      </w:pPr>
      <w:r w:rsidRPr="00C30B50">
        <w:rPr>
          <w:rFonts w:ascii="Times New Roman" w:hAnsi="Times New Roman" w:cs="Times New Roman"/>
          <w:b/>
          <w:lang w:val="ro-RO"/>
        </w:rPr>
        <w:t>d). Intervenții eficace la nivel national pentru grup</w:t>
      </w:r>
      <w:r w:rsidR="002F1FBF">
        <w:rPr>
          <w:rFonts w:ascii="Times New Roman" w:hAnsi="Times New Roman" w:cs="Times New Roman"/>
          <w:b/>
          <w:lang w:val="ro-RO"/>
        </w:rPr>
        <w:t>urile țintă ale campaniei</w:t>
      </w:r>
      <w:r w:rsidR="002418D8">
        <w:rPr>
          <w:rFonts w:ascii="Times New Roman" w:hAnsi="Times New Roman" w:cs="Times New Roman"/>
          <w:b/>
          <w:lang w:val="ro-RO"/>
        </w:rPr>
        <w:t xml:space="preserve"> </w:t>
      </w:r>
    </w:p>
    <w:p w:rsidR="00C30B50" w:rsidRPr="00C30B50" w:rsidRDefault="00C30B50" w:rsidP="00C30B50">
      <w:pPr>
        <w:spacing w:line="240" w:lineRule="auto"/>
        <w:contextualSpacing/>
        <w:jc w:val="both"/>
        <w:rPr>
          <w:rFonts w:ascii="Times New Roman" w:hAnsi="Times New Roman" w:cs="Times New Roman"/>
          <w:b/>
          <w:lang w:val="ro-RO"/>
        </w:rPr>
      </w:pPr>
      <w:r w:rsidRPr="00C30B50">
        <w:rPr>
          <w:rFonts w:ascii="Times New Roman" w:hAnsi="Times New Roman" w:cs="Times New Roman"/>
          <w:b/>
          <w:lang w:val="ro-RO"/>
        </w:rPr>
        <w:t xml:space="preserve">e). Evidențe utile pentru intervenții la nivel național, european și international </w:t>
      </w:r>
      <w:r w:rsidR="002418D8">
        <w:rPr>
          <w:rFonts w:ascii="Times New Roman" w:hAnsi="Times New Roman" w:cs="Times New Roman"/>
          <w:b/>
          <w:lang w:val="ro-RO"/>
        </w:rPr>
        <w:t xml:space="preserve"> </w:t>
      </w:r>
    </w:p>
    <w:p w:rsidR="00C30B50" w:rsidRPr="00C30B50" w:rsidRDefault="00C30B50" w:rsidP="00C30B50">
      <w:pPr>
        <w:spacing w:line="240" w:lineRule="auto"/>
        <w:contextualSpacing/>
        <w:jc w:val="both"/>
        <w:rPr>
          <w:rFonts w:ascii="Times New Roman" w:hAnsi="Times New Roman" w:cs="Times New Roman"/>
          <w:b/>
          <w:lang w:val="ro-RO"/>
        </w:rPr>
      </w:pPr>
      <w:r w:rsidRPr="00C30B50">
        <w:rPr>
          <w:rFonts w:ascii="Times New Roman" w:hAnsi="Times New Roman" w:cs="Times New Roman"/>
          <w:b/>
          <w:lang w:val="ro-RO"/>
        </w:rPr>
        <w:t>f). Politici, strategii, planuri de acțiune şi programe existente</w:t>
      </w:r>
      <w:r w:rsidR="002418D8">
        <w:rPr>
          <w:rFonts w:ascii="Times New Roman" w:hAnsi="Times New Roman" w:cs="Times New Roman"/>
          <w:b/>
          <w:lang w:val="ro-RO"/>
        </w:rPr>
        <w:t xml:space="preserve"> la nivel euro</w:t>
      </w:r>
      <w:r w:rsidR="002F1FBF">
        <w:rPr>
          <w:rFonts w:ascii="Times New Roman" w:hAnsi="Times New Roman" w:cs="Times New Roman"/>
          <w:b/>
          <w:lang w:val="ro-RO"/>
        </w:rPr>
        <w:t xml:space="preserve">pean, național </w:t>
      </w:r>
    </w:p>
    <w:p w:rsidR="00C30B50" w:rsidRPr="00C30B50" w:rsidRDefault="00C30B50" w:rsidP="00C30B50">
      <w:pPr>
        <w:spacing w:line="240" w:lineRule="auto"/>
        <w:contextualSpacing/>
        <w:jc w:val="both"/>
        <w:rPr>
          <w:rFonts w:ascii="Times New Roman" w:hAnsi="Times New Roman" w:cs="Times New Roman"/>
          <w:b/>
          <w:lang w:val="ro-RO"/>
        </w:rPr>
      </w:pPr>
      <w:r w:rsidRPr="00C30B50">
        <w:rPr>
          <w:rFonts w:ascii="Times New Roman" w:hAnsi="Times New Roman" w:cs="Times New Roman"/>
          <w:b/>
          <w:lang w:val="ro-RO"/>
        </w:rPr>
        <w:t xml:space="preserve">g). Analiza </w:t>
      </w:r>
      <w:r w:rsidR="002F1FBF">
        <w:rPr>
          <w:rFonts w:ascii="Times New Roman" w:hAnsi="Times New Roman" w:cs="Times New Roman"/>
          <w:b/>
          <w:lang w:val="ro-RO"/>
        </w:rPr>
        <w:t xml:space="preserve">grupurilor populaționale </w:t>
      </w:r>
      <w:r w:rsidR="008915CF">
        <w:rPr>
          <w:rFonts w:ascii="Times New Roman" w:hAnsi="Times New Roman" w:cs="Times New Roman"/>
          <w:b/>
          <w:lang w:val="ro-RO"/>
        </w:rPr>
        <w:t xml:space="preserve"> </w:t>
      </w:r>
    </w:p>
    <w:p w:rsidR="00C30B50" w:rsidRPr="00C30B50" w:rsidRDefault="00C30B50" w:rsidP="00C30B50">
      <w:pPr>
        <w:spacing w:line="240" w:lineRule="auto"/>
        <w:contextualSpacing/>
        <w:jc w:val="both"/>
        <w:rPr>
          <w:rFonts w:ascii="Times New Roman" w:hAnsi="Times New Roman" w:cs="Times New Roman"/>
          <w:b/>
          <w:lang w:val="ro-RO"/>
        </w:rPr>
      </w:pPr>
      <w:r w:rsidRPr="00C30B50">
        <w:rPr>
          <w:rFonts w:ascii="Times New Roman" w:hAnsi="Times New Roman" w:cs="Times New Roman"/>
          <w:b/>
          <w:lang w:val="ro-RO"/>
        </w:rPr>
        <w:t>h). Campaniile IEC efectuate la nivel național în anii anterio</w:t>
      </w:r>
      <w:r w:rsidR="002F1FBF">
        <w:rPr>
          <w:rFonts w:ascii="Times New Roman" w:hAnsi="Times New Roman" w:cs="Times New Roman"/>
          <w:b/>
          <w:lang w:val="ro-RO"/>
        </w:rPr>
        <w:t>ri</w:t>
      </w:r>
    </w:p>
    <w:p w:rsidR="00C30B50" w:rsidRPr="00EA3B77" w:rsidRDefault="00C30B50" w:rsidP="00C30B50">
      <w:pPr>
        <w:spacing w:line="240" w:lineRule="auto"/>
        <w:contextualSpacing/>
        <w:jc w:val="both"/>
        <w:rPr>
          <w:rFonts w:ascii="Times New Roman" w:hAnsi="Times New Roman" w:cs="Times New Roman"/>
          <w:b/>
          <w:lang w:val="ro-RO"/>
        </w:rPr>
      </w:pPr>
    </w:p>
    <w:p w:rsidR="00844177" w:rsidRPr="00EA3B77" w:rsidRDefault="00844177" w:rsidP="00EA3B77">
      <w:pPr>
        <w:spacing w:line="240" w:lineRule="auto"/>
        <w:contextualSpacing/>
        <w:jc w:val="both"/>
        <w:rPr>
          <w:rFonts w:ascii="Times New Roman" w:hAnsi="Times New Roman" w:cs="Times New Roman"/>
          <w:b/>
          <w:lang w:val="ro-RO"/>
        </w:rPr>
      </w:pPr>
      <w:r w:rsidRPr="00EA3B77">
        <w:rPr>
          <w:rFonts w:ascii="Times New Roman" w:hAnsi="Times New Roman" w:cs="Times New Roman"/>
          <w:b/>
          <w:lang w:val="ro-RO"/>
        </w:rPr>
        <w:t>Introducere</w:t>
      </w:r>
      <w:r w:rsidR="00FD1742" w:rsidRPr="00EA3B77">
        <w:rPr>
          <w:rStyle w:val="FootnoteReference"/>
          <w:rFonts w:ascii="Times New Roman" w:hAnsi="Times New Roman" w:cs="Times New Roman"/>
          <w:b/>
          <w:lang w:val="ro-RO"/>
        </w:rPr>
        <w:footnoteReference w:id="1"/>
      </w:r>
    </w:p>
    <w:p w:rsidR="00DF152E" w:rsidRPr="00EA3B77" w:rsidRDefault="00E668B9" w:rsidP="00EA3B77">
      <w:pPr>
        <w:spacing w:line="240" w:lineRule="auto"/>
        <w:contextualSpacing/>
        <w:jc w:val="both"/>
        <w:rPr>
          <w:rFonts w:ascii="Times New Roman" w:hAnsi="Times New Roman" w:cs="Times New Roman"/>
          <w:lang w:val="ro-RO"/>
        </w:rPr>
      </w:pPr>
      <w:r w:rsidRPr="00EA3B77">
        <w:rPr>
          <w:rFonts w:ascii="Times New Roman" w:hAnsi="Times New Roman" w:cs="Times New Roman"/>
        </w:rPr>
        <w:t>Pe 8 noiembrie 2019</w:t>
      </w:r>
      <w:r w:rsidR="00FA3062" w:rsidRPr="00EA3B77">
        <w:rPr>
          <w:rFonts w:ascii="Times New Roman" w:hAnsi="Times New Roman" w:cs="Times New Roman"/>
        </w:rPr>
        <w:t xml:space="preserve"> </w:t>
      </w:r>
      <w:r w:rsidR="00704789" w:rsidRPr="00EA3B77">
        <w:rPr>
          <w:rFonts w:ascii="Times New Roman" w:hAnsi="Times New Roman" w:cs="Times New Roman"/>
        </w:rPr>
        <w:t xml:space="preserve"> medicii radiologi, imagiști, tehnicienii și profesioniștii din domenii conexe celebrează la nivel mondial cea de-a șaptea ediție a Zilei Internaționale a Radiologiei (IDo</w:t>
      </w:r>
      <w:r w:rsidR="00A02A1D" w:rsidRPr="00EA3B77">
        <w:rPr>
          <w:rFonts w:ascii="Times New Roman" w:hAnsi="Times New Roman" w:cs="Times New Roman"/>
        </w:rPr>
        <w:t xml:space="preserve">R 2018). </w:t>
      </w:r>
      <w:r w:rsidR="00DF152E" w:rsidRPr="00EA3B77">
        <w:rPr>
          <w:rFonts w:ascii="Times New Roman" w:hAnsi="Times New Roman" w:cs="Times New Roman"/>
        </w:rPr>
        <w:t>S</w:t>
      </w:r>
      <w:r w:rsidR="00DF152E" w:rsidRPr="00EA3B77">
        <w:rPr>
          <w:rFonts w:ascii="Times New Roman" w:hAnsi="Times New Roman" w:cs="Times New Roman"/>
          <w:lang w:val="ro-RO"/>
        </w:rPr>
        <w:t>ă sărbătorim împreună!</w:t>
      </w:r>
    </w:p>
    <w:p w:rsidR="00704789" w:rsidRPr="00EA3B77" w:rsidRDefault="00704789" w:rsidP="00EA3B77">
      <w:pPr>
        <w:spacing w:line="240" w:lineRule="auto"/>
        <w:contextualSpacing/>
        <w:jc w:val="both"/>
        <w:rPr>
          <w:rFonts w:ascii="Times New Roman" w:hAnsi="Times New Roman" w:cs="Times New Roman"/>
        </w:rPr>
      </w:pPr>
      <w:r w:rsidRPr="00EA3B77">
        <w:rPr>
          <w:rFonts w:ascii="Times New Roman" w:hAnsi="Times New Roman" w:cs="Times New Roman"/>
        </w:rPr>
        <w:t xml:space="preserve">Ziua Internațională a Radiologiei </w:t>
      </w:r>
      <w:proofErr w:type="gramStart"/>
      <w:r w:rsidRPr="00EA3B77">
        <w:rPr>
          <w:rFonts w:ascii="Times New Roman" w:hAnsi="Times New Roman" w:cs="Times New Roman"/>
        </w:rPr>
        <w:t>este</w:t>
      </w:r>
      <w:proofErr w:type="gramEnd"/>
      <w:r w:rsidRPr="00EA3B77">
        <w:rPr>
          <w:rFonts w:ascii="Times New Roman" w:hAnsi="Times New Roman" w:cs="Times New Roman"/>
        </w:rPr>
        <w:t xml:space="preserve"> un eveniment organizat anual cu scopul de a crește nivelul de conștientizare asupra rolului radiologiei în cadrul unor îngrijiri de sănătate sigure, precum și pentru a îmbunătății înțelegerea rolului pe care medicii radiologi și tehnicienii îl joacă în cadrul procesului de acordare a îngrijirilor de sănătate. </w:t>
      </w:r>
    </w:p>
    <w:p w:rsidR="00DF152E" w:rsidRPr="00EA3B77" w:rsidRDefault="00DF152E" w:rsidP="00EA3B77">
      <w:pPr>
        <w:shd w:val="clear" w:color="auto" w:fill="FFFFFF"/>
        <w:spacing w:after="0" w:line="240" w:lineRule="auto"/>
        <w:contextualSpacing/>
        <w:jc w:val="both"/>
        <w:textAlignment w:val="baseline"/>
        <w:rPr>
          <w:rFonts w:ascii="Times New Roman" w:eastAsia="Times New Roman" w:hAnsi="Times New Roman" w:cs="Times New Roman"/>
          <w:color w:val="000000"/>
        </w:rPr>
      </w:pPr>
      <w:r w:rsidRPr="00EA3B77">
        <w:rPr>
          <w:rFonts w:ascii="Times New Roman" w:eastAsia="Times New Roman" w:hAnsi="Times New Roman" w:cs="Times New Roman"/>
          <w:b/>
          <w:bCs/>
          <w:color w:val="000000"/>
          <w:bdr w:val="none" w:sz="0" w:space="0" w:color="auto" w:frame="1"/>
        </w:rPr>
        <w:t xml:space="preserve">Imagistica </w:t>
      </w:r>
      <w:r w:rsidR="00F7578F" w:rsidRPr="00EA3B77">
        <w:rPr>
          <w:rFonts w:ascii="Times New Roman" w:eastAsia="Times New Roman" w:hAnsi="Times New Roman" w:cs="Times New Roman"/>
          <w:b/>
          <w:bCs/>
          <w:color w:val="000000"/>
          <w:bdr w:val="none" w:sz="0" w:space="0" w:color="auto" w:frame="1"/>
        </w:rPr>
        <w:t xml:space="preserve">sportivă </w:t>
      </w:r>
      <w:r w:rsidR="00827610" w:rsidRPr="00EA3B77">
        <w:rPr>
          <w:rFonts w:ascii="Times New Roman" w:eastAsia="Times New Roman" w:hAnsi="Times New Roman" w:cs="Times New Roman"/>
          <w:b/>
          <w:bCs/>
          <w:color w:val="000000"/>
          <w:bdr w:val="none" w:sz="0" w:space="0" w:color="auto" w:frame="1"/>
        </w:rPr>
        <w:t>(radiologia</w:t>
      </w:r>
      <w:r w:rsidR="00F7578F" w:rsidRPr="00EA3B77">
        <w:rPr>
          <w:rFonts w:ascii="Times New Roman" w:eastAsia="Times New Roman" w:hAnsi="Times New Roman" w:cs="Times New Roman"/>
          <w:b/>
          <w:bCs/>
          <w:color w:val="000000"/>
          <w:bdr w:val="none" w:sz="0" w:space="0" w:color="auto" w:frame="1"/>
        </w:rPr>
        <w:t xml:space="preserve"> musculo-scheletică)</w:t>
      </w:r>
      <w:r w:rsidRPr="00EA3B77">
        <w:rPr>
          <w:rFonts w:ascii="Times New Roman" w:eastAsia="Times New Roman" w:hAnsi="Times New Roman" w:cs="Times New Roman"/>
          <w:color w:val="000000"/>
          <w:bdr w:val="none" w:sz="0" w:space="0" w:color="auto" w:frame="1"/>
        </w:rPr>
        <w:t> a fost aleasă ca </w:t>
      </w:r>
      <w:r w:rsidRPr="00EA3B77">
        <w:rPr>
          <w:rFonts w:ascii="Times New Roman" w:eastAsia="Times New Roman" w:hAnsi="Times New Roman" w:cs="Times New Roman"/>
          <w:bCs/>
          <w:color w:val="000000"/>
          <w:bdr w:val="none" w:sz="0" w:space="0" w:color="auto" w:frame="1"/>
        </w:rPr>
        <w:t>temă principală</w:t>
      </w:r>
      <w:r w:rsidRPr="00EA3B77">
        <w:rPr>
          <w:rFonts w:ascii="Times New Roman" w:eastAsia="Times New Roman" w:hAnsi="Times New Roman" w:cs="Times New Roman"/>
          <w:color w:val="000000"/>
          <w:bdr w:val="none" w:sz="0" w:space="0" w:color="auto" w:frame="1"/>
        </w:rPr>
        <w:t> a zilei în 2019, pentru a evidenția rolul esențial pe care îl joacă profesioniștii de imagistică în detectarea, diagnosticul, prognosticul și tratamentul leziunilor legate de sport, crescând calitatea îngrijirii și a tratamentului pacienților.</w:t>
      </w:r>
    </w:p>
    <w:p w:rsidR="00DF152E" w:rsidRPr="00EA3B77" w:rsidRDefault="00DF152E" w:rsidP="00EA3B77">
      <w:pPr>
        <w:shd w:val="clear" w:color="auto" w:fill="FFFFFF"/>
        <w:spacing w:after="0" w:line="240" w:lineRule="auto"/>
        <w:contextualSpacing/>
        <w:jc w:val="both"/>
        <w:textAlignment w:val="baseline"/>
        <w:outlineLvl w:val="1"/>
        <w:rPr>
          <w:rFonts w:ascii="Times New Roman" w:eastAsia="Times New Roman" w:hAnsi="Times New Roman" w:cs="Times New Roman"/>
          <w:color w:val="000000"/>
          <w:bdr w:val="none" w:sz="0" w:space="0" w:color="auto" w:frame="1"/>
        </w:rPr>
      </w:pPr>
    </w:p>
    <w:p w:rsidR="00DF152E" w:rsidRPr="00EA3B77" w:rsidRDefault="00DF152E" w:rsidP="00EA3B77">
      <w:pPr>
        <w:shd w:val="clear" w:color="auto" w:fill="FFFFFF"/>
        <w:spacing w:after="0" w:line="240" w:lineRule="auto"/>
        <w:contextualSpacing/>
        <w:jc w:val="both"/>
        <w:textAlignment w:val="baseline"/>
        <w:outlineLvl w:val="1"/>
        <w:rPr>
          <w:rFonts w:ascii="Times New Roman" w:eastAsia="Times New Roman" w:hAnsi="Times New Roman" w:cs="Times New Roman"/>
          <w:b/>
          <w:color w:val="000000"/>
          <w:bdr w:val="none" w:sz="0" w:space="0" w:color="auto" w:frame="1"/>
        </w:rPr>
      </w:pPr>
      <w:r w:rsidRPr="00EA3B77">
        <w:rPr>
          <w:rFonts w:ascii="Times New Roman" w:eastAsia="Times New Roman" w:hAnsi="Times New Roman" w:cs="Times New Roman"/>
          <w:b/>
          <w:color w:val="000000"/>
          <w:bdr w:val="none" w:sz="0" w:space="0" w:color="auto" w:frame="1"/>
        </w:rPr>
        <w:t>Imagistica sportivă (radiologie musculo-scheletică)</w:t>
      </w:r>
    </w:p>
    <w:p w:rsidR="00DF152E" w:rsidRPr="00EA3B77" w:rsidRDefault="00DF152E" w:rsidP="00EA3B77">
      <w:pPr>
        <w:shd w:val="clear" w:color="auto" w:fill="FFFFFF"/>
        <w:spacing w:after="0" w:line="240" w:lineRule="auto"/>
        <w:contextualSpacing/>
        <w:jc w:val="both"/>
        <w:textAlignment w:val="baseline"/>
        <w:outlineLvl w:val="1"/>
        <w:rPr>
          <w:rFonts w:ascii="Times New Roman" w:eastAsia="Times New Roman" w:hAnsi="Times New Roman" w:cs="Times New Roman"/>
          <w:b/>
          <w:color w:val="000000"/>
        </w:rPr>
      </w:pPr>
    </w:p>
    <w:p w:rsidR="00DF152E" w:rsidRPr="00EA3B77" w:rsidRDefault="00DF152E" w:rsidP="00EA3B77">
      <w:pPr>
        <w:shd w:val="clear" w:color="auto" w:fill="FFFFFF"/>
        <w:spacing w:after="0" w:line="240" w:lineRule="auto"/>
        <w:contextualSpacing/>
        <w:jc w:val="both"/>
        <w:textAlignment w:val="baseline"/>
        <w:rPr>
          <w:rFonts w:ascii="Times New Roman" w:eastAsia="Times New Roman" w:hAnsi="Times New Roman" w:cs="Times New Roman"/>
          <w:color w:val="000000"/>
        </w:rPr>
      </w:pPr>
      <w:r w:rsidRPr="00EA3B77">
        <w:rPr>
          <w:rFonts w:ascii="Times New Roman" w:eastAsia="Times New Roman" w:hAnsi="Times New Roman" w:cs="Times New Roman"/>
          <w:bCs/>
          <w:color w:val="000000"/>
          <w:bdr w:val="none" w:sz="0" w:space="0" w:color="auto" w:frame="1"/>
        </w:rPr>
        <w:t xml:space="preserve">Radiologia musculo-scheletică </w:t>
      </w:r>
      <w:proofErr w:type="gramStart"/>
      <w:r w:rsidRPr="00EA3B77">
        <w:rPr>
          <w:rFonts w:ascii="Times New Roman" w:eastAsia="Times New Roman" w:hAnsi="Times New Roman" w:cs="Times New Roman"/>
          <w:bCs/>
          <w:color w:val="000000"/>
          <w:bdr w:val="none" w:sz="0" w:space="0" w:color="auto" w:frame="1"/>
        </w:rPr>
        <w:t>este</w:t>
      </w:r>
      <w:proofErr w:type="gramEnd"/>
      <w:r w:rsidRPr="00EA3B77">
        <w:rPr>
          <w:rFonts w:ascii="Times New Roman" w:eastAsia="Times New Roman" w:hAnsi="Times New Roman" w:cs="Times New Roman"/>
          <w:bCs/>
          <w:color w:val="000000"/>
          <w:bdr w:val="none" w:sz="0" w:space="0" w:color="auto" w:frame="1"/>
        </w:rPr>
        <w:t xml:space="preserve"> o subspecialitate în creștere rapidă a radiologiei diagnostice, care joacă un rol din ce în ce mai important în evaluarea și managementul pacienților cu o mare varietate de leziuni în întreaga lume. În această subspecialitate, </w:t>
      </w:r>
      <w:proofErr w:type="gramStart"/>
      <w:r w:rsidRPr="00EA3B77">
        <w:rPr>
          <w:rFonts w:ascii="Times New Roman" w:eastAsia="Times New Roman" w:hAnsi="Times New Roman" w:cs="Times New Roman"/>
          <w:bCs/>
          <w:color w:val="000000"/>
          <w:bdr w:val="none" w:sz="0" w:space="0" w:color="auto" w:frame="1"/>
        </w:rPr>
        <w:t>a</w:t>
      </w:r>
      <w:proofErr w:type="gramEnd"/>
      <w:r w:rsidRPr="00EA3B77">
        <w:rPr>
          <w:rFonts w:ascii="Times New Roman" w:eastAsia="Times New Roman" w:hAnsi="Times New Roman" w:cs="Times New Roman"/>
          <w:bCs/>
          <w:color w:val="000000"/>
          <w:bdr w:val="none" w:sz="0" w:space="0" w:color="auto" w:frame="1"/>
        </w:rPr>
        <w:t xml:space="preserve"> apărut o nouă disciplină - imagistica sportivă. </w:t>
      </w:r>
      <w:proofErr w:type="gramStart"/>
      <w:r w:rsidRPr="00EA3B77">
        <w:rPr>
          <w:rFonts w:ascii="Times New Roman" w:eastAsia="Times New Roman" w:hAnsi="Times New Roman" w:cs="Times New Roman"/>
          <w:bCs/>
          <w:color w:val="000000"/>
          <w:bdr w:val="none" w:sz="0" w:space="0" w:color="auto" w:frame="1"/>
        </w:rPr>
        <w:t>Pentru IDoR 2019, evidențiem rolul crucial al imagisticii în diagnosticul, prognosticul și tratamentul leziunilor sportive și semnificația înțelegerii opțiunilor de anatomie, biomecanică și tratament chirurgical.</w:t>
      </w:r>
      <w:proofErr w:type="gramEnd"/>
    </w:p>
    <w:p w:rsidR="00DF152E" w:rsidRPr="00EA3B77" w:rsidRDefault="00DF152E" w:rsidP="00EA3B77">
      <w:pPr>
        <w:shd w:val="clear" w:color="auto" w:fill="FFFFFF"/>
        <w:spacing w:after="0" w:line="240" w:lineRule="auto"/>
        <w:contextualSpacing/>
        <w:jc w:val="both"/>
        <w:textAlignment w:val="baseline"/>
        <w:rPr>
          <w:rFonts w:ascii="Times New Roman" w:eastAsia="Times New Roman" w:hAnsi="Times New Roman" w:cs="Times New Roman"/>
          <w:color w:val="000000"/>
        </w:rPr>
      </w:pPr>
      <w:r w:rsidRPr="00EA3B77">
        <w:rPr>
          <w:rFonts w:ascii="Times New Roman" w:eastAsia="Times New Roman" w:hAnsi="Times New Roman" w:cs="Times New Roman"/>
          <w:color w:val="000000"/>
          <w:bdr w:val="none" w:sz="0" w:space="0" w:color="auto" w:frame="1"/>
        </w:rPr>
        <w:t>Fie că este vorba despre reportaje media ale sportivilor profesioniști care așteaptă examene imagistice pentru a ajuta la determinarea prognosticului, sau a rolului din ce în ce mai central pe care imagistica îl joacă la evenimente sportive profesioniste și de elită, dovezi pentru rolul fundamental al imagisticii în grija tuturor sportivilor, amatorilor sau profesioniștilor, adult sau pediatru, este clar. Dezvoltarea imaginilor cu ultrasunete și rezonanță magnetică, în special în ultimii 20 de ani, a dus la vizualizarea superioară a tendoanelor, ligamentelor și cartilajelor, dând o importanță sporită imagisticii medicale în diagnosticul și tratamentul leziunilor legate de sport.</w:t>
      </w:r>
    </w:p>
    <w:p w:rsidR="00704789" w:rsidRDefault="00704789" w:rsidP="00EA3B77">
      <w:pPr>
        <w:spacing w:line="240" w:lineRule="auto"/>
        <w:contextualSpacing/>
        <w:jc w:val="both"/>
        <w:rPr>
          <w:rFonts w:ascii="Times New Roman" w:hAnsi="Times New Roman" w:cs="Times New Roman"/>
        </w:rPr>
      </w:pPr>
    </w:p>
    <w:p w:rsidR="008C3856" w:rsidRPr="00EA3B77" w:rsidRDefault="008C3856" w:rsidP="00EA3B77">
      <w:pPr>
        <w:spacing w:line="240" w:lineRule="auto"/>
        <w:contextualSpacing/>
        <w:jc w:val="both"/>
        <w:rPr>
          <w:rFonts w:ascii="Times New Roman" w:hAnsi="Times New Roman" w:cs="Times New Roman"/>
        </w:rPr>
      </w:pPr>
    </w:p>
    <w:p w:rsidR="0044428A" w:rsidRPr="00C30B50" w:rsidRDefault="0044428A" w:rsidP="0044428A">
      <w:pPr>
        <w:spacing w:line="240" w:lineRule="auto"/>
        <w:contextualSpacing/>
        <w:jc w:val="both"/>
        <w:rPr>
          <w:rFonts w:ascii="Times New Roman" w:hAnsi="Times New Roman" w:cs="Times New Roman"/>
          <w:b/>
          <w:lang w:val="ro-RO"/>
        </w:rPr>
      </w:pPr>
      <w:r>
        <w:rPr>
          <w:rFonts w:ascii="Times New Roman" w:hAnsi="Times New Roman" w:cs="Times New Roman"/>
          <w:b/>
        </w:rPr>
        <w:lastRenderedPageBreak/>
        <w:t>a)</w:t>
      </w:r>
      <w:r w:rsidRPr="00C30B50">
        <w:rPr>
          <w:rFonts w:ascii="Times New Roman" w:hAnsi="Times New Roman" w:cs="Times New Roman"/>
          <w:b/>
          <w:lang w:val="ro-RO"/>
        </w:rPr>
        <w:t xml:space="preserve">Date statistice la nivel </w:t>
      </w:r>
      <w:r>
        <w:rPr>
          <w:rFonts w:ascii="Times New Roman" w:hAnsi="Times New Roman" w:cs="Times New Roman"/>
          <w:b/>
          <w:lang w:val="ro-RO"/>
        </w:rPr>
        <w:t xml:space="preserve"> mondial, </w:t>
      </w:r>
      <w:proofErr w:type="gramStart"/>
      <w:r w:rsidRPr="00C30B50">
        <w:rPr>
          <w:rFonts w:ascii="Times New Roman" w:hAnsi="Times New Roman" w:cs="Times New Roman"/>
          <w:b/>
          <w:lang w:val="ro-RO"/>
        </w:rPr>
        <w:t>european</w:t>
      </w:r>
      <w:proofErr w:type="gramEnd"/>
      <w:r>
        <w:rPr>
          <w:rFonts w:ascii="Times New Roman" w:hAnsi="Times New Roman" w:cs="Times New Roman"/>
          <w:b/>
          <w:lang w:val="ro-RO"/>
        </w:rPr>
        <w:t xml:space="preserve"> şi național</w:t>
      </w:r>
      <w:bookmarkStart w:id="0" w:name="_GoBack"/>
      <w:bookmarkEnd w:id="0"/>
      <w:r>
        <w:rPr>
          <w:rFonts w:ascii="Times New Roman" w:hAnsi="Times New Roman" w:cs="Times New Roman"/>
          <w:b/>
          <w:lang w:val="ro-RO"/>
        </w:rPr>
        <w:t xml:space="preserve"> </w:t>
      </w:r>
      <w:r w:rsidRPr="00C30B50">
        <w:rPr>
          <w:rFonts w:ascii="Times New Roman" w:hAnsi="Times New Roman" w:cs="Times New Roman"/>
          <w:b/>
          <w:lang w:val="ro-RO"/>
        </w:rPr>
        <w:t xml:space="preserve"> privind nive</w:t>
      </w:r>
      <w:r>
        <w:rPr>
          <w:rFonts w:ascii="Times New Roman" w:hAnsi="Times New Roman" w:cs="Times New Roman"/>
          <w:b/>
          <w:lang w:val="ro-RO"/>
        </w:rPr>
        <w:t>lul și dinamica fenomenului</w:t>
      </w:r>
    </w:p>
    <w:p w:rsidR="00844177" w:rsidRPr="00EA3B77" w:rsidRDefault="00844177" w:rsidP="00EA3B77">
      <w:pPr>
        <w:spacing w:line="240" w:lineRule="auto"/>
        <w:contextualSpacing/>
        <w:rPr>
          <w:rFonts w:ascii="Times New Roman" w:hAnsi="Times New Roman" w:cs="Times New Roman"/>
          <w:b/>
        </w:rPr>
      </w:pPr>
    </w:p>
    <w:p w:rsidR="00A84EF2" w:rsidRPr="00EA3B77" w:rsidRDefault="00A84EF2" w:rsidP="00EA3B77">
      <w:pPr>
        <w:spacing w:line="240" w:lineRule="auto"/>
        <w:contextualSpacing/>
        <w:jc w:val="both"/>
        <w:rPr>
          <w:rFonts w:ascii="Times New Roman" w:hAnsi="Times New Roman" w:cs="Times New Roman"/>
        </w:rPr>
      </w:pPr>
      <w:r w:rsidRPr="00EA3B77">
        <w:rPr>
          <w:rFonts w:ascii="Times New Roman" w:hAnsi="Times New Roman" w:cs="Times New Roman"/>
        </w:rPr>
        <w:t>La nivel mondial, în fiecare an sunt efectuate aproximativ 3</w:t>
      </w:r>
      <w:proofErr w:type="gramStart"/>
      <w:r w:rsidRPr="00EA3B77">
        <w:rPr>
          <w:rFonts w:ascii="Times New Roman" w:hAnsi="Times New Roman" w:cs="Times New Roman"/>
        </w:rPr>
        <w:t>,6</w:t>
      </w:r>
      <w:proofErr w:type="gramEnd"/>
      <w:r w:rsidRPr="00EA3B77">
        <w:rPr>
          <w:rFonts w:ascii="Times New Roman" w:hAnsi="Times New Roman" w:cs="Times New Roman"/>
        </w:rPr>
        <w:t xml:space="preserve"> miliarde de examinări medicale diagnostice - radiografii. Acest număr continuă </w:t>
      </w:r>
      <w:proofErr w:type="gramStart"/>
      <w:r w:rsidRPr="00EA3B77">
        <w:rPr>
          <w:rFonts w:ascii="Times New Roman" w:hAnsi="Times New Roman" w:cs="Times New Roman"/>
        </w:rPr>
        <w:t>să</w:t>
      </w:r>
      <w:proofErr w:type="gramEnd"/>
      <w:r w:rsidRPr="00EA3B77">
        <w:rPr>
          <w:rFonts w:ascii="Times New Roman" w:hAnsi="Times New Roman" w:cs="Times New Roman"/>
        </w:rPr>
        <w:t xml:space="preserve"> crească pe măsură ce tot mai mulți oameni au acces la asistența medicală. Aproximativ 350 de milioane din aceste radiografii sunt efectuate la copiii sub </w:t>
      </w:r>
      <w:proofErr w:type="gramStart"/>
      <w:r w:rsidRPr="00EA3B77">
        <w:rPr>
          <w:rFonts w:ascii="Times New Roman" w:hAnsi="Times New Roman" w:cs="Times New Roman"/>
        </w:rPr>
        <w:t>15 ani</w:t>
      </w:r>
      <w:proofErr w:type="gramEnd"/>
      <w:r w:rsidR="00FD1742" w:rsidRPr="00EA3B77">
        <w:rPr>
          <w:rStyle w:val="FootnoteReference"/>
          <w:rFonts w:ascii="Times New Roman" w:hAnsi="Times New Roman" w:cs="Times New Roman"/>
        </w:rPr>
        <w:footnoteReference w:id="2"/>
      </w:r>
      <w:r w:rsidRPr="00EA3B77">
        <w:rPr>
          <w:rFonts w:ascii="Times New Roman" w:hAnsi="Times New Roman" w:cs="Times New Roman"/>
        </w:rPr>
        <w:t>.</w:t>
      </w:r>
    </w:p>
    <w:p w:rsidR="00AA1C71" w:rsidRPr="00EA3B77" w:rsidRDefault="00AA1C71" w:rsidP="00EA3B77">
      <w:pPr>
        <w:spacing w:line="240" w:lineRule="auto"/>
        <w:contextualSpacing/>
        <w:jc w:val="both"/>
        <w:rPr>
          <w:rFonts w:ascii="Times New Roman" w:hAnsi="Times New Roman" w:cs="Times New Roman"/>
          <w:color w:val="000000" w:themeColor="text1"/>
        </w:rPr>
      </w:pPr>
      <w:r w:rsidRPr="00EA3B77">
        <w:rPr>
          <w:rFonts w:ascii="Times New Roman" w:hAnsi="Times New Roman" w:cs="Times New Roman"/>
          <w:color w:val="000000" w:themeColor="text1"/>
        </w:rPr>
        <w:t>Adiţional se mai înregistrează 37 milionane de proceduri de medicină nucleară şi 7</w:t>
      </w:r>
      <w:proofErr w:type="gramStart"/>
      <w:r w:rsidRPr="00EA3B77">
        <w:rPr>
          <w:rFonts w:ascii="Times New Roman" w:hAnsi="Times New Roman" w:cs="Times New Roman"/>
          <w:color w:val="000000" w:themeColor="text1"/>
        </w:rPr>
        <w:t>,5</w:t>
      </w:r>
      <w:proofErr w:type="gramEnd"/>
      <w:r w:rsidRPr="00EA3B77">
        <w:rPr>
          <w:rFonts w:ascii="Times New Roman" w:hAnsi="Times New Roman" w:cs="Times New Roman"/>
          <w:color w:val="000000" w:themeColor="text1"/>
        </w:rPr>
        <w:t xml:space="preserve"> milioane de tratamente radioterapice pe an conform UNSCEAR 2008</w:t>
      </w:r>
      <w:r w:rsidR="00FD1742" w:rsidRPr="00EA3B77">
        <w:rPr>
          <w:rStyle w:val="FootnoteReference"/>
          <w:rFonts w:ascii="Times New Roman" w:hAnsi="Times New Roman" w:cs="Times New Roman"/>
          <w:color w:val="000000" w:themeColor="text1"/>
        </w:rPr>
        <w:footnoteReference w:id="3"/>
      </w:r>
      <w:r w:rsidRPr="00EA3B77">
        <w:rPr>
          <w:rFonts w:ascii="Times New Roman" w:hAnsi="Times New Roman" w:cs="Times New Roman"/>
          <w:color w:val="000000" w:themeColor="text1"/>
        </w:rPr>
        <w:t>.</w:t>
      </w:r>
    </w:p>
    <w:p w:rsidR="00FD1742" w:rsidRPr="00EA3B77" w:rsidRDefault="00A02A1D" w:rsidP="00EA3B77">
      <w:pPr>
        <w:spacing w:line="240" w:lineRule="auto"/>
        <w:contextualSpacing/>
        <w:rPr>
          <w:rFonts w:ascii="Times New Roman" w:hAnsi="Times New Roman" w:cs="Times New Roman"/>
        </w:rPr>
      </w:pPr>
      <w:r w:rsidRPr="00EA3B77">
        <w:rPr>
          <w:rFonts w:ascii="Times New Roman" w:hAnsi="Times New Roman" w:cs="Times New Roman"/>
        </w:rPr>
        <w:t xml:space="preserve">Cheltuielile globale pe aparatură şi echipamente radiologice şi imagistice au crescut </w:t>
      </w:r>
      <w:r w:rsidR="00DE5C67" w:rsidRPr="00EA3B77">
        <w:rPr>
          <w:rFonts w:ascii="Times New Roman" w:hAnsi="Times New Roman" w:cs="Times New Roman"/>
        </w:rPr>
        <w:t>de la 145 miliarde de dolari americani în anul 1998 la 220 miliarde dolari americani în anul 2006.</w:t>
      </w:r>
    </w:p>
    <w:p w:rsidR="00FD1742" w:rsidRDefault="005A6727" w:rsidP="00EA3B77">
      <w:pPr>
        <w:spacing w:line="240" w:lineRule="auto"/>
        <w:contextualSpacing/>
        <w:rPr>
          <w:rFonts w:ascii="Times New Roman" w:hAnsi="Times New Roman" w:cs="Times New Roman"/>
          <w:lang w:val="ro-RO"/>
        </w:rPr>
      </w:pPr>
      <w:r w:rsidRPr="00EA3B77">
        <w:rPr>
          <w:rFonts w:ascii="Times New Roman" w:hAnsi="Times New Roman" w:cs="Times New Roman"/>
        </w:rPr>
        <w:t>Num</w:t>
      </w:r>
      <w:r w:rsidRPr="00EA3B77">
        <w:rPr>
          <w:rFonts w:ascii="Times New Roman" w:hAnsi="Times New Roman" w:cs="Times New Roman"/>
          <w:lang w:val="ro-RO"/>
        </w:rPr>
        <w:t>ărul de CT la 1 milion de locuitori variază de la 3</w:t>
      </w:r>
      <w:proofErr w:type="gramStart"/>
      <w:r w:rsidRPr="00EA3B77">
        <w:rPr>
          <w:rFonts w:ascii="Times New Roman" w:hAnsi="Times New Roman" w:cs="Times New Roman"/>
          <w:lang w:val="ro-RO"/>
        </w:rPr>
        <w:t>,4</w:t>
      </w:r>
      <w:proofErr w:type="gramEnd"/>
      <w:r w:rsidRPr="00EA3B77">
        <w:rPr>
          <w:rFonts w:ascii="Times New Roman" w:hAnsi="Times New Roman" w:cs="Times New Roman"/>
          <w:lang w:val="ro-RO"/>
        </w:rPr>
        <w:t xml:space="preserve"> în Mexic, la 92,6 în Japonia</w:t>
      </w:r>
      <w:r w:rsidRPr="00EA3B77">
        <w:rPr>
          <w:rStyle w:val="FootnoteReference"/>
          <w:rFonts w:ascii="Times New Roman" w:hAnsi="Times New Roman" w:cs="Times New Roman"/>
          <w:lang w:val="ro-RO"/>
        </w:rPr>
        <w:footnoteReference w:id="4"/>
      </w:r>
    </w:p>
    <w:p w:rsidR="00C9260E" w:rsidRPr="00EA3B77" w:rsidRDefault="00C9260E" w:rsidP="00EA3B77">
      <w:pPr>
        <w:spacing w:line="240" w:lineRule="auto"/>
        <w:contextualSpacing/>
        <w:rPr>
          <w:rFonts w:ascii="Times New Roman" w:hAnsi="Times New Roman" w:cs="Times New Roman"/>
          <w:lang w:val="ro-RO"/>
        </w:rPr>
      </w:pPr>
    </w:p>
    <w:p w:rsidR="00377B4E" w:rsidRPr="00EA3B77" w:rsidRDefault="00377B4E" w:rsidP="00EA3B77">
      <w:pPr>
        <w:spacing w:line="240" w:lineRule="auto"/>
        <w:contextualSpacing/>
        <w:rPr>
          <w:rFonts w:ascii="Times New Roman" w:hAnsi="Times New Roman" w:cs="Times New Roman"/>
        </w:rPr>
      </w:pPr>
      <w:r w:rsidRPr="00EA3B77">
        <w:rPr>
          <w:rFonts w:ascii="Times New Roman" w:hAnsi="Times New Roman" w:cs="Times New Roman"/>
          <w:noProof/>
        </w:rPr>
        <w:drawing>
          <wp:inline distT="0" distB="0" distL="0" distR="0" wp14:anchorId="40F8F43C" wp14:editId="29BE8800">
            <wp:extent cx="3533775" cy="44672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7EC5" w:rsidRPr="00EA3B77" w:rsidRDefault="00377B4E" w:rsidP="00EA3B77">
      <w:pPr>
        <w:spacing w:line="240" w:lineRule="auto"/>
        <w:contextualSpacing/>
        <w:rPr>
          <w:rFonts w:ascii="Times New Roman" w:hAnsi="Times New Roman" w:cs="Times New Roman"/>
        </w:rPr>
      </w:pPr>
      <w:r w:rsidRPr="00EA3B77">
        <w:rPr>
          <w:rFonts w:ascii="Times New Roman" w:hAnsi="Times New Roman" w:cs="Times New Roman"/>
        </w:rPr>
        <w:t>OECD* - Organizaţia pentru cooperare şi dezvoltare economică</w:t>
      </w:r>
    </w:p>
    <w:p w:rsidR="00ED3A7D" w:rsidRPr="00EA3B77" w:rsidRDefault="00ED3A7D" w:rsidP="00EA3B77">
      <w:pPr>
        <w:spacing w:line="240" w:lineRule="auto"/>
        <w:contextualSpacing/>
        <w:jc w:val="both"/>
        <w:rPr>
          <w:rFonts w:ascii="Times New Roman" w:eastAsiaTheme="minorHAnsi" w:hAnsi="Times New Roman" w:cs="Times New Roman"/>
          <w:lang w:val="ro-RO"/>
        </w:rPr>
      </w:pPr>
      <w:r w:rsidRPr="00EA3B77">
        <w:rPr>
          <w:rFonts w:ascii="Times New Roman" w:eastAsiaTheme="minorHAnsi" w:hAnsi="Times New Roman" w:cs="Times New Roman"/>
        </w:rPr>
        <w:t>Tomografia computerizat</w:t>
      </w:r>
      <w:r w:rsidRPr="00EA3B77">
        <w:rPr>
          <w:rFonts w:ascii="Times New Roman" w:eastAsiaTheme="minorHAnsi" w:hAnsi="Times New Roman" w:cs="Times New Roman"/>
          <w:lang w:val="ro-RO"/>
        </w:rPr>
        <w:t>ă</w:t>
      </w:r>
      <w:r w:rsidRPr="00EA3B77">
        <w:rPr>
          <w:rStyle w:val="FootnoteReference"/>
          <w:rFonts w:ascii="Times New Roman" w:eastAsiaTheme="minorHAnsi" w:hAnsi="Times New Roman" w:cs="Times New Roman"/>
          <w:lang w:val="ro-RO"/>
        </w:rPr>
        <w:footnoteReference w:id="5"/>
      </w:r>
      <w:r w:rsidRPr="00EA3B77">
        <w:rPr>
          <w:rFonts w:ascii="Times New Roman" w:eastAsiaTheme="minorHAnsi" w:hAnsi="Times New Roman" w:cs="Times New Roman"/>
        </w:rPr>
        <w:t xml:space="preserve"> (CT) îi ajută pe </w:t>
      </w:r>
      <w:proofErr w:type="gramStart"/>
      <w:r w:rsidRPr="00EA3B77">
        <w:rPr>
          <w:rFonts w:ascii="Times New Roman" w:eastAsiaTheme="minorHAnsi" w:hAnsi="Times New Roman" w:cs="Times New Roman"/>
        </w:rPr>
        <w:t>medici</w:t>
      </w:r>
      <w:proofErr w:type="gramEnd"/>
      <w:r w:rsidRPr="00EA3B77">
        <w:rPr>
          <w:rFonts w:ascii="Times New Roman" w:eastAsiaTheme="minorHAnsi" w:hAnsi="Times New Roman" w:cs="Times New Roman"/>
        </w:rPr>
        <w:t xml:space="preserve"> să diagnosticheze o serie de afecțiuni producând imagini ale organelor și structurilor interne ale corpului. </w:t>
      </w:r>
      <w:proofErr w:type="gramStart"/>
      <w:r w:rsidRPr="00EA3B77">
        <w:rPr>
          <w:rFonts w:ascii="Times New Roman" w:eastAsiaTheme="minorHAnsi" w:hAnsi="Times New Roman" w:cs="Times New Roman"/>
        </w:rPr>
        <w:t>Un</w:t>
      </w:r>
      <w:proofErr w:type="gramEnd"/>
      <w:r w:rsidRPr="00EA3B77">
        <w:rPr>
          <w:rFonts w:ascii="Times New Roman" w:eastAsiaTheme="minorHAnsi" w:hAnsi="Times New Roman" w:cs="Times New Roman"/>
        </w:rPr>
        <w:t xml:space="preserve"> tomograf este un aparat cu raze X care combină mai multe imagini cu raze X cu ajutorul unui computer pentru a genera vizualizări în secțiune și, dacă este necesar, imagini tridimensionale ale organelor și structurilor interne ale corpului. În tabelul de mai </w:t>
      </w:r>
      <w:proofErr w:type="gramStart"/>
      <w:r w:rsidRPr="00EA3B77">
        <w:rPr>
          <w:rFonts w:ascii="Times New Roman" w:eastAsiaTheme="minorHAnsi" w:hAnsi="Times New Roman" w:cs="Times New Roman"/>
        </w:rPr>
        <w:t>jos</w:t>
      </w:r>
      <w:proofErr w:type="gramEnd"/>
      <w:r w:rsidRPr="00EA3B77">
        <w:rPr>
          <w:rFonts w:ascii="Times New Roman" w:eastAsiaTheme="minorHAnsi" w:hAnsi="Times New Roman" w:cs="Times New Roman"/>
        </w:rPr>
        <w:t xml:space="preserve"> sunt redate examinarile CT la 1000 locuitori, în ţările OECD c</w:t>
      </w:r>
      <w:r w:rsidR="00174491" w:rsidRPr="00EA3B77">
        <w:rPr>
          <w:rFonts w:ascii="Times New Roman" w:eastAsiaTheme="minorHAnsi" w:hAnsi="Times New Roman" w:cs="Times New Roman"/>
        </w:rPr>
        <w:t xml:space="preserve">omparative în anii 2014 şi 2017, in ambulator, </w:t>
      </w:r>
      <w:r w:rsidR="00174491" w:rsidRPr="00EA3B77">
        <w:rPr>
          <w:rFonts w:ascii="Times New Roman" w:eastAsiaTheme="minorHAnsi" w:hAnsi="Times New Roman" w:cs="Times New Roman"/>
          <w:lang w:val="ro-RO"/>
        </w:rPr>
        <w:t>în spital şi per total.</w:t>
      </w:r>
    </w:p>
    <w:p w:rsidR="00ED3A7D" w:rsidRPr="00EA3B77" w:rsidRDefault="00ED3A7D" w:rsidP="00EA3B77">
      <w:pPr>
        <w:spacing w:line="240" w:lineRule="auto"/>
        <w:contextualSpacing/>
        <w:jc w:val="both"/>
        <w:rPr>
          <w:rFonts w:ascii="Times New Roman" w:eastAsiaTheme="minorHAnsi" w:hAnsi="Times New Roman" w:cs="Times New Roman"/>
        </w:rPr>
      </w:pPr>
    </w:p>
    <w:tbl>
      <w:tblPr>
        <w:tblStyle w:val="TableGrid"/>
        <w:tblW w:w="0" w:type="auto"/>
        <w:tblLook w:val="04A0" w:firstRow="1" w:lastRow="0" w:firstColumn="1" w:lastColumn="0" w:noHBand="0" w:noVBand="1"/>
      </w:tblPr>
      <w:tblGrid>
        <w:gridCol w:w="960"/>
        <w:gridCol w:w="1656"/>
        <w:gridCol w:w="2163"/>
        <w:gridCol w:w="960"/>
        <w:gridCol w:w="1030"/>
        <w:gridCol w:w="1030"/>
        <w:gridCol w:w="1030"/>
      </w:tblGrid>
      <w:tr w:rsidR="00ED3A7D" w:rsidRPr="00EA3B77" w:rsidTr="00617572">
        <w:trPr>
          <w:trHeight w:val="72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lastRenderedPageBreak/>
              <w:t>Tara</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EXAMINARE</w:t>
            </w:r>
          </w:p>
          <w:p w:rsidR="00ED3A7D" w:rsidRPr="00EA3B77" w:rsidRDefault="00ED3A7D" w:rsidP="00EA3B77">
            <w:pPr>
              <w:contextualSpacing/>
              <w:jc w:val="both"/>
              <w:rPr>
                <w:rFonts w:ascii="Times New Roman" w:eastAsiaTheme="minorHAnsi" w:hAnsi="Times New Roman" w:cs="Times New Roman"/>
                <w:b/>
              </w:rPr>
            </w:pPr>
            <w:r w:rsidRPr="00EA3B77">
              <w:rPr>
                <w:rFonts w:ascii="Times New Roman" w:eastAsiaTheme="minorHAnsi" w:hAnsi="Times New Roman" w:cs="Times New Roman"/>
                <w:b/>
              </w:rPr>
              <w:t>CT</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LOCUL EXAMINARII</w:t>
            </w:r>
          </w:p>
          <w:p w:rsidR="00ED3A7D" w:rsidRPr="00EA3B77" w:rsidRDefault="00ED3A7D" w:rsidP="00EA3B77">
            <w:pPr>
              <w:contextualSpacing/>
              <w:jc w:val="both"/>
              <w:rPr>
                <w:rFonts w:ascii="Times New Roman" w:eastAsiaTheme="minorHAnsi" w:hAnsi="Times New Roman" w:cs="Times New Roman"/>
              </w:rPr>
            </w:pP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ANUL</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NR. CT la 1000 locuitori</w:t>
            </w:r>
          </w:p>
        </w:tc>
        <w:tc>
          <w:tcPr>
            <w:tcW w:w="1030" w:type="dxa"/>
          </w:tcPr>
          <w:p w:rsidR="00ED3A7D" w:rsidRPr="00EA3B77" w:rsidRDefault="00ED3A7D" w:rsidP="00EA3B77">
            <w:pPr>
              <w:contextualSpacing/>
              <w:jc w:val="both"/>
              <w:rPr>
                <w:rFonts w:ascii="Times New Roman" w:eastAsiaTheme="minorHAnsi" w:hAnsi="Times New Roman" w:cs="Times New Roman"/>
                <w:highlight w:val="darkGray"/>
              </w:rPr>
            </w:pPr>
            <w:r w:rsidRPr="00EA3B77">
              <w:rPr>
                <w:rFonts w:ascii="Times New Roman" w:eastAsiaTheme="minorHAnsi" w:hAnsi="Times New Roman" w:cs="Times New Roman"/>
                <w:highlight w:val="darkGray"/>
              </w:rPr>
              <w:t xml:space="preserve">ANUL </w:t>
            </w:r>
          </w:p>
        </w:tc>
        <w:tc>
          <w:tcPr>
            <w:tcW w:w="1030" w:type="dxa"/>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NR. CT la 1000 locuitori</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AUT</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INHOSPITAL</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143.8</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149.6</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BEL</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TOT</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193.1</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200.5</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CZE</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TOT</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98.3</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103.5</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CZE</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INAMBULATORY</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5.2</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5.7</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CZE</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INHOSPITAL</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93</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97.9</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DNK</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TOT</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150.5</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172.8</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DNK</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INAMBULATORY</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0.6</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1.1</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DNK</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INHOSPITAL</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149.9</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171.7</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FIN</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TOT</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31.3</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44.3</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FIN</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INAMBULATORY</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0.6</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0.5</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FIN</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INHOSPITAL</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30.7</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43.8</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FRA</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TOT</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179.4</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189.7</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FRA</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INAMBULATORY</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65.3</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71</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FRA</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INHOSPITAL</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114.1</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118.7</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DEU</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TOT</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143.8</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73.4</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DEU</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INAMBULATORY</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78.7</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122.5</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DEU</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INHOSPITAL</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65.1</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211.1</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GRC</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TOT</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168</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0</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HUN</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TOT</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96.7</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211.1</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LUX</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TOT</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206.9</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94</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LUX</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INAMBULATORY</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0</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0.2</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LUX</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INHOSPITAL</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206.9</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93.8</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NLD</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TOT</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79.5</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97</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NLD</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INAMBULATORY</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0.2</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51.3</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NLD</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INHOSPITAL</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79.4</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45.7</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POL</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TOT</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89.7</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188.9</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POL</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INAMBULATORY</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56.6</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153.9</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POL</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INHOSPITAL</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33.2</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30.2</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PRT</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INHOSPITAL</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153.9</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123.7</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SVK</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TOT</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134.8</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114.9</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SVK</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INAMBULATORY</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29.7</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4.9</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SVK</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INHOSPITAL</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105.1</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110</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ESP</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TOT</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101.3</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92.3</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ESP</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INAMBULATORY</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4.1</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168.7</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ESP</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INHOSPITAL</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97.2</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3.6</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GBR</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INHOSPITAL</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75.1</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165</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SVN</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TOT</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57.2</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70.9</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SVN</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INAMBULATORY</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42.8</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56.6</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SVN</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INHOSPITAL</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14.4</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14.3</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LVA</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TOT</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159.5</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171.9</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LVA</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INAMBULATORY</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88.2</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112.6</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LVA</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INHOSPITAL</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71.3</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59.4</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lastRenderedPageBreak/>
              <w:t>LTU</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TOT</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88.6</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101.8</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LTU</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INAMBULATORY</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7.3</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12.7</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LTU</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INHOSPITAL</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81.3</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89.1</w:t>
            </w:r>
          </w:p>
        </w:tc>
      </w:tr>
      <w:tr w:rsidR="00ED3A7D" w:rsidRPr="00EA3B77" w:rsidTr="00617572">
        <w:trPr>
          <w:trHeight w:val="300"/>
        </w:trPr>
        <w:tc>
          <w:tcPr>
            <w:tcW w:w="96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ITA</w:t>
            </w:r>
          </w:p>
        </w:tc>
        <w:tc>
          <w:tcPr>
            <w:tcW w:w="1656"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CTEXAM</w:t>
            </w:r>
          </w:p>
        </w:tc>
        <w:tc>
          <w:tcPr>
            <w:tcW w:w="2163"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TOT</w:t>
            </w:r>
          </w:p>
        </w:tc>
        <w:tc>
          <w:tcPr>
            <w:tcW w:w="960" w:type="dxa"/>
            <w:noWrap/>
            <w:hideMark/>
          </w:tcPr>
          <w:p w:rsidR="00ED3A7D" w:rsidRPr="00EA3B77" w:rsidRDefault="00ED3A7D" w:rsidP="00EA3B77">
            <w:pPr>
              <w:contextualSpacing/>
              <w:jc w:val="both"/>
              <w:rPr>
                <w:rFonts w:ascii="Times New Roman" w:eastAsiaTheme="minorHAnsi" w:hAnsi="Times New Roman" w:cs="Times New Roman"/>
                <w:highlight w:val="lightGray"/>
              </w:rPr>
            </w:pPr>
            <w:r w:rsidRPr="00EA3B77">
              <w:rPr>
                <w:rFonts w:ascii="Times New Roman" w:eastAsiaTheme="minorHAnsi" w:hAnsi="Times New Roman" w:cs="Times New Roman"/>
                <w:highlight w:val="lightGray"/>
              </w:rPr>
              <w:t>2014</w:t>
            </w:r>
          </w:p>
        </w:tc>
        <w:tc>
          <w:tcPr>
            <w:tcW w:w="1030" w:type="dxa"/>
            <w:noWrap/>
            <w:hideMark/>
          </w:tcPr>
          <w:p w:rsidR="00ED3A7D" w:rsidRPr="00EA3B77" w:rsidRDefault="00ED3A7D" w:rsidP="00EA3B77">
            <w:pPr>
              <w:contextualSpacing/>
              <w:jc w:val="both"/>
              <w:rPr>
                <w:rFonts w:ascii="Times New Roman" w:eastAsiaTheme="minorHAnsi" w:hAnsi="Times New Roman" w:cs="Times New Roman"/>
              </w:rPr>
            </w:pPr>
            <w:r w:rsidRPr="00EA3B77">
              <w:rPr>
                <w:rFonts w:ascii="Times New Roman" w:eastAsiaTheme="minorHAnsi" w:hAnsi="Times New Roman" w:cs="Times New Roman"/>
              </w:rPr>
              <w:t>87.6</w:t>
            </w:r>
          </w:p>
        </w:tc>
        <w:tc>
          <w:tcPr>
            <w:tcW w:w="1030" w:type="dxa"/>
          </w:tcPr>
          <w:p w:rsidR="00ED3A7D" w:rsidRPr="00EA3B77" w:rsidRDefault="00ED3A7D" w:rsidP="00EA3B77">
            <w:pPr>
              <w:contextualSpacing/>
              <w:rPr>
                <w:rFonts w:ascii="Times New Roman" w:eastAsiaTheme="minorHAnsi" w:hAnsi="Times New Roman" w:cs="Times New Roman"/>
                <w:color w:val="000000"/>
                <w:highlight w:val="darkGray"/>
              </w:rPr>
            </w:pPr>
            <w:r w:rsidRPr="00EA3B77">
              <w:rPr>
                <w:rFonts w:ascii="Times New Roman" w:eastAsiaTheme="minorHAnsi" w:hAnsi="Times New Roman" w:cs="Times New Roman"/>
                <w:color w:val="000000"/>
                <w:highlight w:val="darkGray"/>
              </w:rPr>
              <w:t>2017</w:t>
            </w:r>
          </w:p>
        </w:tc>
        <w:tc>
          <w:tcPr>
            <w:tcW w:w="1030" w:type="dxa"/>
          </w:tcPr>
          <w:p w:rsidR="00ED3A7D" w:rsidRPr="00EA3B77" w:rsidRDefault="00ED3A7D" w:rsidP="00EA3B77">
            <w:pPr>
              <w:contextualSpacing/>
              <w:rPr>
                <w:rFonts w:ascii="Times New Roman" w:eastAsiaTheme="minorHAnsi" w:hAnsi="Times New Roman" w:cs="Times New Roman"/>
                <w:color w:val="000000"/>
              </w:rPr>
            </w:pPr>
            <w:r w:rsidRPr="00EA3B77">
              <w:rPr>
                <w:rFonts w:ascii="Times New Roman" w:eastAsiaTheme="minorHAnsi" w:hAnsi="Times New Roman" w:cs="Times New Roman"/>
                <w:color w:val="000000"/>
              </w:rPr>
              <w:t>89.9</w:t>
            </w:r>
          </w:p>
        </w:tc>
      </w:tr>
    </w:tbl>
    <w:p w:rsidR="00ED3A7D" w:rsidRPr="00EA3B77" w:rsidRDefault="00ED3A7D" w:rsidP="00EA3B77">
      <w:pPr>
        <w:spacing w:line="240" w:lineRule="auto"/>
        <w:contextualSpacing/>
        <w:jc w:val="both"/>
        <w:rPr>
          <w:rFonts w:ascii="Times New Roman" w:eastAsiaTheme="minorHAnsi" w:hAnsi="Times New Roman" w:cs="Times New Roman"/>
          <w:lang w:val="ro-RO"/>
        </w:rPr>
      </w:pPr>
      <w:r w:rsidRPr="00EA3B77">
        <w:rPr>
          <w:rFonts w:ascii="Times New Roman" w:eastAsiaTheme="minorHAnsi" w:hAnsi="Times New Roman" w:cs="Times New Roman"/>
        </w:rPr>
        <w:t>RMN</w:t>
      </w:r>
      <w:r w:rsidRPr="00EA3B77">
        <w:rPr>
          <w:rStyle w:val="FootnoteReference"/>
          <w:rFonts w:ascii="Times New Roman" w:eastAsiaTheme="minorHAnsi" w:hAnsi="Times New Roman" w:cs="Times New Roman"/>
        </w:rPr>
        <w:footnoteReference w:id="6"/>
      </w:r>
      <w:r w:rsidRPr="00EA3B77">
        <w:rPr>
          <w:rFonts w:ascii="Times New Roman" w:eastAsiaTheme="minorHAnsi" w:hAnsi="Times New Roman" w:cs="Times New Roman"/>
        </w:rPr>
        <w:t xml:space="preserve"> </w:t>
      </w:r>
      <w:proofErr w:type="gramStart"/>
      <w:r w:rsidRPr="00EA3B77">
        <w:rPr>
          <w:rFonts w:ascii="Times New Roman" w:eastAsiaTheme="minorHAnsi" w:hAnsi="Times New Roman" w:cs="Times New Roman"/>
        </w:rPr>
        <w:t>este</w:t>
      </w:r>
      <w:proofErr w:type="gramEnd"/>
      <w:r w:rsidRPr="00EA3B77">
        <w:rPr>
          <w:rFonts w:ascii="Times New Roman" w:eastAsiaTheme="minorHAnsi" w:hAnsi="Times New Roman" w:cs="Times New Roman"/>
        </w:rPr>
        <w:t xml:space="preserve"> o tehnică imagistică concepută pentru vizualizarea structurilor interne ale corpului folosind câmpuri magnetice și electromagnetice care induc un efect de rezonanță al atomilor de hidrogen. Emisia electromagnetică creată de acești atomi este înregistrată și procesată de un </w:t>
      </w:r>
      <w:proofErr w:type="gramStart"/>
      <w:r w:rsidRPr="00EA3B77">
        <w:rPr>
          <w:rFonts w:ascii="Times New Roman" w:eastAsiaTheme="minorHAnsi" w:hAnsi="Times New Roman" w:cs="Times New Roman"/>
        </w:rPr>
        <w:t>computer  pentru</w:t>
      </w:r>
      <w:proofErr w:type="gramEnd"/>
      <w:r w:rsidRPr="00EA3B77">
        <w:rPr>
          <w:rFonts w:ascii="Times New Roman" w:eastAsiaTheme="minorHAnsi" w:hAnsi="Times New Roman" w:cs="Times New Roman"/>
        </w:rPr>
        <w:t xml:space="preserve"> a produce imaginile structurilor corpului. În tabelul de mai jos sunt redate examinarile RMN la 1000 locuitori, în ţările OECD comparative în anii 2014 şi </w:t>
      </w:r>
      <w:proofErr w:type="gramStart"/>
      <w:r w:rsidRPr="00EA3B77">
        <w:rPr>
          <w:rFonts w:ascii="Times New Roman" w:eastAsiaTheme="minorHAnsi" w:hAnsi="Times New Roman" w:cs="Times New Roman"/>
        </w:rPr>
        <w:t>2017</w:t>
      </w:r>
      <w:r w:rsidR="00174491" w:rsidRPr="00EA3B77">
        <w:rPr>
          <w:rFonts w:ascii="Times New Roman" w:eastAsiaTheme="minorHAnsi" w:hAnsi="Times New Roman" w:cs="Times New Roman"/>
        </w:rPr>
        <w:t xml:space="preserve"> ,</w:t>
      </w:r>
      <w:proofErr w:type="gramEnd"/>
      <w:r w:rsidR="00174491" w:rsidRPr="00EA3B77">
        <w:rPr>
          <w:rFonts w:ascii="Times New Roman" w:eastAsiaTheme="minorHAnsi" w:hAnsi="Times New Roman" w:cs="Times New Roman"/>
        </w:rPr>
        <w:t xml:space="preserve"> in ambulator, </w:t>
      </w:r>
      <w:r w:rsidR="00174491" w:rsidRPr="00EA3B77">
        <w:rPr>
          <w:rFonts w:ascii="Times New Roman" w:eastAsiaTheme="minorHAnsi" w:hAnsi="Times New Roman" w:cs="Times New Roman"/>
          <w:lang w:val="ro-RO"/>
        </w:rPr>
        <w:t>în spital şi per total.</w:t>
      </w:r>
    </w:p>
    <w:tbl>
      <w:tblPr>
        <w:tblStyle w:val="TableGrid"/>
        <w:tblW w:w="0" w:type="auto"/>
        <w:tblLook w:val="04A0" w:firstRow="1" w:lastRow="0" w:firstColumn="1" w:lastColumn="0" w:noHBand="0" w:noVBand="1"/>
      </w:tblPr>
      <w:tblGrid>
        <w:gridCol w:w="967"/>
        <w:gridCol w:w="1669"/>
        <w:gridCol w:w="2180"/>
        <w:gridCol w:w="967"/>
        <w:gridCol w:w="1118"/>
        <w:gridCol w:w="1118"/>
        <w:gridCol w:w="1118"/>
      </w:tblGrid>
      <w:tr w:rsidR="00ED3A7D" w:rsidRPr="00EA3B77" w:rsidTr="00EA3B77">
        <w:trPr>
          <w:trHeight w:val="1005"/>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TARA</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 xml:space="preserve">EXAMINARE </w:t>
            </w:r>
          </w:p>
          <w:p w:rsidR="00ED3A7D" w:rsidRPr="00EA3B77" w:rsidRDefault="00ED3A7D" w:rsidP="00EA3B77">
            <w:pPr>
              <w:contextualSpacing/>
              <w:rPr>
                <w:rFonts w:ascii="Times New Roman" w:eastAsiaTheme="minorHAnsi" w:hAnsi="Times New Roman" w:cs="Times New Roman"/>
                <w:b/>
                <w:sz w:val="20"/>
                <w:szCs w:val="20"/>
              </w:rPr>
            </w:pPr>
            <w:r w:rsidRPr="00EA3B77">
              <w:rPr>
                <w:rFonts w:ascii="Times New Roman" w:eastAsiaTheme="minorHAnsi" w:hAnsi="Times New Roman" w:cs="Times New Roman"/>
                <w:b/>
                <w:sz w:val="20"/>
                <w:szCs w:val="20"/>
              </w:rPr>
              <w:t>RMN</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LOCUL EXAMINARII</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ANUL</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NUMAR RMN LA 1000 locuitori</w:t>
            </w:r>
          </w:p>
        </w:tc>
        <w:tc>
          <w:tcPr>
            <w:tcW w:w="1118" w:type="dxa"/>
          </w:tcPr>
          <w:p w:rsidR="00ED3A7D" w:rsidRPr="00EA3B77" w:rsidRDefault="00ED3A7D" w:rsidP="00EA3B77">
            <w:pPr>
              <w:contextualSpacing/>
              <w:rPr>
                <w:rFonts w:ascii="Times New Roman" w:eastAsiaTheme="minorHAnsi" w:hAnsi="Times New Roman" w:cs="Times New Roman"/>
                <w:sz w:val="20"/>
                <w:szCs w:val="20"/>
                <w:highlight w:val="darkGray"/>
              </w:rPr>
            </w:pPr>
            <w:r w:rsidRPr="00EA3B77">
              <w:rPr>
                <w:rFonts w:ascii="Times New Roman" w:eastAsiaTheme="minorHAnsi" w:hAnsi="Times New Roman" w:cs="Times New Roman"/>
                <w:sz w:val="20"/>
                <w:szCs w:val="20"/>
                <w:highlight w:val="darkGray"/>
              </w:rPr>
              <w:t>ANUL</w:t>
            </w:r>
          </w:p>
        </w:tc>
        <w:tc>
          <w:tcPr>
            <w:tcW w:w="1118" w:type="dxa"/>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NUMAR RMN LA 1000 locuitori</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AUS</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35.3</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44.8</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AUS</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INAMBULATORY</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33.6</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42.9</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AUS</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INHOSPITAL</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1.9</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AUT</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INHOSPITAL</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58.6</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60.7</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BEL</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81.5</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93.9</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CZE</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46.3</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50.5</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CZE</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INAMBULATORY</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9.5</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52.7</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CZE</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INHOSPITAL</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36.8</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10.8</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DNK</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75</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41.9</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DNK</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INAMBULATORY</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6.1</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87</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DNK</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INHOSPITAL</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68.8</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11</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FIN</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31.9</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75.9</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FIN</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INAMBULATORY</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14.4</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43.1</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FIN</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INHOSPITAL</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17.5</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20.5</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FRA</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93.9</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22.6</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FRA</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INAMBULATORY</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52.3</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114.1</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FRA</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INHOSPITAL</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41.6</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65.3</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DEU</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131.3</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48.8</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DEU</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INAMBULATORY</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108.2</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24.6</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DEU</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INHOSPITAL</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23.1</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44.3</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GRC</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58.3</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90.9</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HUN</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35.6</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54.7</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ISL</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81.1</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36.2</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ISL</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INAMBULATORY</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40.8</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36.3</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ISL</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INHOSPITAL</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40.3</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1.7</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KOR</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29.9</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34.6</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KOR</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INAMBULATORY</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1.5</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80.8</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KOR</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INHOSPITAL</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28.4</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0</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LUX</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82.2</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80.8</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LUX</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INAMBULATORY</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0</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51.1</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LUX</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INHOSPITAL</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82.2</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2.4</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NLD</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51.2</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48.7</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NLD</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INAMBULATORY</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1.3</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36.3</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lastRenderedPageBreak/>
              <w:t>NLD</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INHOSPITAL</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50</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28.8</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POL</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27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7.4</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POL</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INAMBULATORY</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21.5</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43.8</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POL</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INHOSPITAL</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5.5</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63</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PRT</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INHOSPITAL</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33.5</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46.6</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SVK</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51.6</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16.4</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SVK</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INAMBULATORY</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39.7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88</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SVK</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INHOSPITAL</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11.9</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17.2</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ESP</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77.4</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70.8</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ESP</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INAMBULATORY</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17.6</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62.1</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ESP</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INHOSPITAL</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59.8</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110.8</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GBR</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INHOSPITAL</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49.4</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55.3</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USA</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109.5</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55.6</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USA</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INAMBULATORY</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52.7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51.9</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USA</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INHOSPITAL</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56.8</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8.1</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CHL</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18.6</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43.8</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ISR</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32.1</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38.4</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ISR</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INAMBULATORY</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2.9</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5.7</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ISR</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INHOSPITAL</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29.1</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32.7</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SVN</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36.9</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61.8</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SVN</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INAMBULATORY</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34.1</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58.7</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SVN</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INHOSPITAL</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2.8</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3</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CHE</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INHOSPITAL</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65.7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74.1</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LVA</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37.9</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55.3</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LVA</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INAMBULATORY</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33.2</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48.8</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LVA</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INHOSPITAL</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4.7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6.6</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LTU</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36.6</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50.1</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LTU</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INAMBULATORY</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23.9</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34.6</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LTU</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INHOSPITAL</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12.7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15.5</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JPN</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112.3</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71.4</w:t>
            </w:r>
          </w:p>
        </w:tc>
      </w:tr>
      <w:tr w:rsidR="00ED3A7D" w:rsidRPr="00EA3B77" w:rsidTr="00EA3B77">
        <w:trPr>
          <w:trHeight w:val="277"/>
        </w:trPr>
        <w:tc>
          <w:tcPr>
            <w:tcW w:w="967"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ITA</w:t>
            </w:r>
          </w:p>
        </w:tc>
        <w:tc>
          <w:tcPr>
            <w:tcW w:w="1669"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MRIEXAM</w:t>
            </w:r>
          </w:p>
        </w:tc>
        <w:tc>
          <w:tcPr>
            <w:tcW w:w="2180"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TOT</w:t>
            </w:r>
          </w:p>
        </w:tc>
        <w:tc>
          <w:tcPr>
            <w:tcW w:w="967" w:type="dxa"/>
            <w:noWrap/>
            <w:hideMark/>
          </w:tcPr>
          <w:p w:rsidR="00ED3A7D" w:rsidRPr="00EA3B77" w:rsidRDefault="00ED3A7D" w:rsidP="00EA3B77">
            <w:pPr>
              <w:contextualSpacing/>
              <w:rPr>
                <w:rFonts w:ascii="Times New Roman" w:eastAsiaTheme="minorHAnsi" w:hAnsi="Times New Roman" w:cs="Times New Roman"/>
                <w:sz w:val="20"/>
                <w:szCs w:val="20"/>
                <w:highlight w:val="lightGray"/>
              </w:rPr>
            </w:pPr>
            <w:r w:rsidRPr="00EA3B77">
              <w:rPr>
                <w:rFonts w:ascii="Times New Roman" w:eastAsiaTheme="minorHAnsi" w:hAnsi="Times New Roman" w:cs="Times New Roman"/>
                <w:sz w:val="20"/>
                <w:szCs w:val="20"/>
                <w:highlight w:val="lightGray"/>
              </w:rPr>
              <w:t>2014</w:t>
            </w:r>
          </w:p>
        </w:tc>
        <w:tc>
          <w:tcPr>
            <w:tcW w:w="1118" w:type="dxa"/>
            <w:noWrap/>
            <w:hideMark/>
          </w:tcPr>
          <w:p w:rsidR="00ED3A7D" w:rsidRPr="00EA3B77" w:rsidRDefault="00ED3A7D" w:rsidP="00EA3B77">
            <w:pPr>
              <w:contextualSpacing/>
              <w:rPr>
                <w:rFonts w:ascii="Times New Roman" w:eastAsiaTheme="minorHAnsi" w:hAnsi="Times New Roman" w:cs="Times New Roman"/>
                <w:sz w:val="20"/>
                <w:szCs w:val="20"/>
              </w:rPr>
            </w:pPr>
            <w:r w:rsidRPr="00EA3B77">
              <w:rPr>
                <w:rFonts w:ascii="Times New Roman" w:eastAsiaTheme="minorHAnsi" w:hAnsi="Times New Roman" w:cs="Times New Roman"/>
                <w:sz w:val="20"/>
                <w:szCs w:val="20"/>
              </w:rPr>
              <w:t>79.5</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highlight w:val="darkGray"/>
              </w:rPr>
            </w:pPr>
            <w:r w:rsidRPr="00EA3B77">
              <w:rPr>
                <w:rFonts w:ascii="Times New Roman" w:eastAsiaTheme="minorHAnsi" w:hAnsi="Times New Roman" w:cs="Times New Roman"/>
                <w:color w:val="000000"/>
                <w:sz w:val="20"/>
                <w:szCs w:val="20"/>
                <w:highlight w:val="darkGray"/>
              </w:rPr>
              <w:t>2017</w:t>
            </w:r>
          </w:p>
        </w:tc>
        <w:tc>
          <w:tcPr>
            <w:tcW w:w="1118" w:type="dxa"/>
          </w:tcPr>
          <w:p w:rsidR="00ED3A7D" w:rsidRPr="00EA3B77" w:rsidRDefault="00ED3A7D" w:rsidP="00EA3B77">
            <w:pPr>
              <w:contextualSpacing/>
              <w:rPr>
                <w:rFonts w:ascii="Times New Roman" w:eastAsiaTheme="minorHAnsi" w:hAnsi="Times New Roman" w:cs="Times New Roman"/>
                <w:color w:val="000000"/>
                <w:sz w:val="20"/>
                <w:szCs w:val="20"/>
              </w:rPr>
            </w:pPr>
            <w:r w:rsidRPr="00EA3B77">
              <w:rPr>
                <w:rFonts w:ascii="Times New Roman" w:eastAsiaTheme="minorHAnsi" w:hAnsi="Times New Roman" w:cs="Times New Roman"/>
                <w:color w:val="000000"/>
                <w:sz w:val="20"/>
                <w:szCs w:val="20"/>
              </w:rPr>
              <w:t>44.8</w:t>
            </w:r>
          </w:p>
        </w:tc>
      </w:tr>
    </w:tbl>
    <w:p w:rsidR="00972D0A" w:rsidRDefault="00972D0A" w:rsidP="00EA3B77">
      <w:pPr>
        <w:spacing w:line="240" w:lineRule="auto"/>
        <w:contextualSpacing/>
        <w:rPr>
          <w:rFonts w:ascii="Times New Roman" w:hAnsi="Times New Roman" w:cs="Times New Roman"/>
          <w:b/>
        </w:rPr>
      </w:pPr>
    </w:p>
    <w:p w:rsidR="002D558B" w:rsidRDefault="002D558B" w:rsidP="00EA3B77">
      <w:pPr>
        <w:spacing w:line="240" w:lineRule="auto"/>
        <w:contextualSpacing/>
        <w:rPr>
          <w:rFonts w:ascii="Times New Roman" w:hAnsi="Times New Roman" w:cs="Times New Roman"/>
          <w:b/>
        </w:rPr>
      </w:pPr>
    </w:p>
    <w:p w:rsidR="00126CF0" w:rsidRPr="00EA3B77" w:rsidRDefault="00126CF0" w:rsidP="00EA3B77">
      <w:pPr>
        <w:spacing w:line="240" w:lineRule="auto"/>
        <w:contextualSpacing/>
        <w:rPr>
          <w:rFonts w:ascii="Times New Roman" w:eastAsia="Times New Roman" w:hAnsi="Times New Roman" w:cs="Times New Roman"/>
          <w:bCs/>
          <w:color w:val="000000"/>
        </w:rPr>
      </w:pPr>
      <w:r w:rsidRPr="00EA3B77">
        <w:rPr>
          <w:rFonts w:ascii="Times New Roman" w:hAnsi="Times New Roman" w:cs="Times New Roman"/>
          <w:b/>
        </w:rPr>
        <w:t>Date statistice din Rom</w:t>
      </w:r>
      <w:r w:rsidRPr="00EA3B77">
        <w:rPr>
          <w:rFonts w:ascii="Times New Roman" w:hAnsi="Times New Roman" w:cs="Times New Roman"/>
          <w:b/>
          <w:lang w:val="ro-RO"/>
        </w:rPr>
        <w:t>ânia</w:t>
      </w:r>
      <w:r w:rsidR="00EA3B77" w:rsidRPr="00EA3B77">
        <w:rPr>
          <w:rFonts w:ascii="Times New Roman" w:hAnsi="Times New Roman" w:cs="Times New Roman"/>
          <w:b/>
          <w:lang w:val="ro-RO"/>
        </w:rPr>
        <w:t xml:space="preserve"> în perioada 2008</w:t>
      </w:r>
      <w:r w:rsidRPr="00EA3B77">
        <w:rPr>
          <w:rFonts w:ascii="Times New Roman" w:hAnsi="Times New Roman" w:cs="Times New Roman"/>
          <w:b/>
          <w:lang w:val="ro-RO"/>
        </w:rPr>
        <w:t>-2017</w:t>
      </w:r>
      <w:r w:rsidR="00EA3B77" w:rsidRPr="00EA3B77">
        <w:rPr>
          <w:rFonts w:ascii="Times New Roman" w:hAnsi="Times New Roman" w:cs="Times New Roman"/>
          <w:b/>
          <w:lang w:val="ro-RO"/>
        </w:rPr>
        <w:t>-</w:t>
      </w:r>
      <w:r w:rsidR="00EA3B77" w:rsidRPr="00EA3B77">
        <w:rPr>
          <w:rFonts w:ascii="Times New Roman" w:eastAsia="Times New Roman" w:hAnsi="Times New Roman" w:cs="Times New Roman"/>
          <w:bCs/>
          <w:color w:val="000000"/>
        </w:rPr>
        <w:t xml:space="preserve">Sursa datelor= DRG in unitatile Min.Sanatatii, </w:t>
      </w:r>
      <w:proofErr w:type="gramStart"/>
      <w:r w:rsidR="00EA3B77" w:rsidRPr="00EA3B77">
        <w:rPr>
          <w:rFonts w:ascii="Times New Roman" w:eastAsia="Times New Roman" w:hAnsi="Times New Roman" w:cs="Times New Roman"/>
          <w:bCs/>
          <w:color w:val="000000"/>
        </w:rPr>
        <w:t>Administratiei  Locale,Academia</w:t>
      </w:r>
      <w:proofErr w:type="gramEnd"/>
      <w:r w:rsidR="00EA3B77" w:rsidRPr="00EA3B77">
        <w:rPr>
          <w:rFonts w:ascii="Times New Roman" w:eastAsia="Times New Roman" w:hAnsi="Times New Roman" w:cs="Times New Roman"/>
          <w:bCs/>
          <w:color w:val="000000"/>
        </w:rPr>
        <w:t xml:space="preserve"> Romana</w:t>
      </w:r>
    </w:p>
    <w:p w:rsidR="00972D0A" w:rsidRDefault="00972D0A" w:rsidP="00EA3B77">
      <w:pPr>
        <w:spacing w:line="240" w:lineRule="auto"/>
        <w:contextualSpacing/>
        <w:rPr>
          <w:rFonts w:ascii="Times New Roman" w:hAnsi="Times New Roman" w:cs="Times New Roman"/>
          <w:b/>
          <w:lang w:val="ro-RO"/>
        </w:rPr>
      </w:pPr>
    </w:p>
    <w:p w:rsidR="0044428A" w:rsidRDefault="0044428A" w:rsidP="00EA3B77">
      <w:pPr>
        <w:spacing w:line="240" w:lineRule="auto"/>
        <w:contextualSpacing/>
        <w:rPr>
          <w:rFonts w:ascii="Times New Roman" w:hAnsi="Times New Roman" w:cs="Times New Roman"/>
          <w:b/>
          <w:lang w:val="ro-RO"/>
        </w:rPr>
      </w:pPr>
    </w:p>
    <w:p w:rsidR="0044428A" w:rsidRDefault="0044428A" w:rsidP="00EA3B77">
      <w:pPr>
        <w:spacing w:line="240" w:lineRule="auto"/>
        <w:contextualSpacing/>
        <w:rPr>
          <w:rFonts w:ascii="Times New Roman" w:hAnsi="Times New Roman" w:cs="Times New Roman"/>
          <w:b/>
          <w:lang w:val="ro-RO"/>
        </w:rPr>
      </w:pPr>
    </w:p>
    <w:p w:rsidR="0044428A" w:rsidRDefault="0044428A" w:rsidP="00EA3B77">
      <w:pPr>
        <w:spacing w:line="240" w:lineRule="auto"/>
        <w:contextualSpacing/>
        <w:rPr>
          <w:rFonts w:ascii="Times New Roman" w:hAnsi="Times New Roman" w:cs="Times New Roman"/>
          <w:b/>
          <w:lang w:val="ro-RO"/>
        </w:rPr>
      </w:pPr>
    </w:p>
    <w:p w:rsidR="0044428A" w:rsidRDefault="0044428A" w:rsidP="00EA3B77">
      <w:pPr>
        <w:spacing w:line="240" w:lineRule="auto"/>
        <w:contextualSpacing/>
        <w:rPr>
          <w:rFonts w:ascii="Times New Roman" w:hAnsi="Times New Roman" w:cs="Times New Roman"/>
          <w:b/>
          <w:lang w:val="ro-RO"/>
        </w:rPr>
      </w:pPr>
    </w:p>
    <w:p w:rsidR="0044428A" w:rsidRDefault="0044428A" w:rsidP="00EA3B77">
      <w:pPr>
        <w:spacing w:line="240" w:lineRule="auto"/>
        <w:contextualSpacing/>
        <w:rPr>
          <w:rFonts w:ascii="Times New Roman" w:hAnsi="Times New Roman" w:cs="Times New Roman"/>
          <w:b/>
          <w:lang w:val="ro-RO"/>
        </w:rPr>
      </w:pPr>
    </w:p>
    <w:p w:rsidR="0044428A" w:rsidRDefault="0044428A" w:rsidP="00EA3B77">
      <w:pPr>
        <w:spacing w:line="240" w:lineRule="auto"/>
        <w:contextualSpacing/>
        <w:rPr>
          <w:rFonts w:ascii="Times New Roman" w:hAnsi="Times New Roman" w:cs="Times New Roman"/>
          <w:b/>
          <w:lang w:val="ro-RO"/>
        </w:rPr>
      </w:pPr>
    </w:p>
    <w:p w:rsidR="0044428A" w:rsidRDefault="0044428A" w:rsidP="00EA3B77">
      <w:pPr>
        <w:spacing w:line="240" w:lineRule="auto"/>
        <w:contextualSpacing/>
        <w:rPr>
          <w:rFonts w:ascii="Times New Roman" w:hAnsi="Times New Roman" w:cs="Times New Roman"/>
          <w:b/>
          <w:lang w:val="ro-RO"/>
        </w:rPr>
      </w:pPr>
    </w:p>
    <w:p w:rsidR="0044428A" w:rsidRDefault="0044428A" w:rsidP="00EA3B77">
      <w:pPr>
        <w:spacing w:line="240" w:lineRule="auto"/>
        <w:contextualSpacing/>
        <w:rPr>
          <w:rFonts w:ascii="Times New Roman" w:hAnsi="Times New Roman" w:cs="Times New Roman"/>
          <w:b/>
          <w:lang w:val="ro-RO"/>
        </w:rPr>
      </w:pPr>
    </w:p>
    <w:p w:rsidR="0044428A" w:rsidRDefault="0044428A" w:rsidP="00EA3B77">
      <w:pPr>
        <w:spacing w:line="240" w:lineRule="auto"/>
        <w:contextualSpacing/>
        <w:rPr>
          <w:rFonts w:ascii="Times New Roman" w:hAnsi="Times New Roman" w:cs="Times New Roman"/>
          <w:b/>
          <w:lang w:val="ro-RO"/>
        </w:rPr>
      </w:pPr>
    </w:p>
    <w:p w:rsidR="0044428A" w:rsidRDefault="0044428A" w:rsidP="00EA3B77">
      <w:pPr>
        <w:spacing w:line="240" w:lineRule="auto"/>
        <w:contextualSpacing/>
        <w:rPr>
          <w:rFonts w:ascii="Times New Roman" w:hAnsi="Times New Roman" w:cs="Times New Roman"/>
          <w:b/>
          <w:lang w:val="ro-RO"/>
        </w:rPr>
      </w:pPr>
    </w:p>
    <w:p w:rsidR="0044428A" w:rsidRDefault="0044428A" w:rsidP="00EA3B77">
      <w:pPr>
        <w:spacing w:line="240" w:lineRule="auto"/>
        <w:contextualSpacing/>
        <w:rPr>
          <w:rFonts w:ascii="Times New Roman" w:hAnsi="Times New Roman" w:cs="Times New Roman"/>
          <w:b/>
          <w:lang w:val="ro-RO"/>
        </w:rPr>
      </w:pPr>
    </w:p>
    <w:p w:rsidR="0044428A" w:rsidRDefault="0044428A" w:rsidP="00EA3B77">
      <w:pPr>
        <w:spacing w:line="240" w:lineRule="auto"/>
        <w:contextualSpacing/>
        <w:rPr>
          <w:rFonts w:ascii="Times New Roman" w:hAnsi="Times New Roman" w:cs="Times New Roman"/>
          <w:b/>
          <w:lang w:val="ro-RO"/>
        </w:rPr>
      </w:pPr>
    </w:p>
    <w:p w:rsidR="0044428A" w:rsidRDefault="0044428A" w:rsidP="00EA3B77">
      <w:pPr>
        <w:spacing w:line="240" w:lineRule="auto"/>
        <w:contextualSpacing/>
        <w:rPr>
          <w:rFonts w:ascii="Times New Roman" w:hAnsi="Times New Roman" w:cs="Times New Roman"/>
          <w:b/>
          <w:lang w:val="ro-RO"/>
        </w:rPr>
      </w:pPr>
    </w:p>
    <w:p w:rsidR="0044428A" w:rsidRDefault="0044428A" w:rsidP="00EA3B77">
      <w:pPr>
        <w:spacing w:line="240" w:lineRule="auto"/>
        <w:contextualSpacing/>
        <w:rPr>
          <w:rFonts w:ascii="Times New Roman" w:hAnsi="Times New Roman" w:cs="Times New Roman"/>
          <w:b/>
          <w:lang w:val="ro-RO"/>
        </w:rPr>
      </w:pPr>
    </w:p>
    <w:p w:rsidR="0044428A" w:rsidRDefault="0044428A" w:rsidP="00EA3B77">
      <w:pPr>
        <w:spacing w:line="240" w:lineRule="auto"/>
        <w:contextualSpacing/>
        <w:rPr>
          <w:rFonts w:ascii="Times New Roman" w:hAnsi="Times New Roman" w:cs="Times New Roman"/>
          <w:b/>
          <w:lang w:val="ro-RO"/>
        </w:rPr>
      </w:pPr>
    </w:p>
    <w:p w:rsidR="00617572" w:rsidRPr="00EA3B77" w:rsidRDefault="00617572" w:rsidP="00EA3B77">
      <w:pPr>
        <w:spacing w:line="240" w:lineRule="auto"/>
        <w:contextualSpacing/>
        <w:rPr>
          <w:rFonts w:ascii="Times New Roman" w:hAnsi="Times New Roman" w:cs="Times New Roman"/>
          <w:b/>
          <w:lang w:val="ro-RO"/>
        </w:rPr>
      </w:pPr>
      <w:r w:rsidRPr="00EA3B77">
        <w:rPr>
          <w:rFonts w:ascii="Times New Roman" w:hAnsi="Times New Roman" w:cs="Times New Roman"/>
          <w:b/>
          <w:lang w:val="ro-RO"/>
        </w:rPr>
        <w:lastRenderedPageBreak/>
        <w:t>Radiografii musculo-scheletice</w:t>
      </w:r>
    </w:p>
    <w:p w:rsidR="00877DFC" w:rsidRDefault="00EA3B77" w:rsidP="00EA3B77">
      <w:pPr>
        <w:spacing w:line="240" w:lineRule="auto"/>
        <w:contextualSpacing/>
        <w:rPr>
          <w:rFonts w:ascii="Times New Roman" w:hAnsi="Times New Roman" w:cs="Times New Roman"/>
          <w:b/>
          <w:lang w:val="ro-RO"/>
        </w:rPr>
      </w:pPr>
      <w:r w:rsidRPr="00EA3B77">
        <w:rPr>
          <w:rFonts w:ascii="Times New Roman" w:hAnsi="Times New Roman" w:cs="Times New Roman"/>
          <w:b/>
          <w:lang w:val="ro-RO"/>
        </w:rPr>
        <w:object w:dxaOrig="14603" w:dyaOrig="3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71.75pt" o:ole="">
            <v:imagedata r:id="rId11" o:title=""/>
          </v:shape>
          <o:OLEObject Type="Embed" ProgID="Excel.Sheet.12" ShapeID="_x0000_i1025" DrawAspect="Content" ObjectID="_1633329878" r:id="rId12"/>
        </w:object>
      </w:r>
    </w:p>
    <w:p w:rsidR="00877DFC" w:rsidRDefault="000A2432" w:rsidP="00EA3B77">
      <w:pPr>
        <w:spacing w:line="240" w:lineRule="auto"/>
        <w:contextualSpacing/>
        <w:rPr>
          <w:rFonts w:ascii="Times New Roman" w:hAnsi="Times New Roman" w:cs="Times New Roman"/>
          <w:b/>
          <w:lang w:val="ro-RO"/>
        </w:rPr>
      </w:pPr>
      <w:r>
        <w:rPr>
          <w:noProof/>
        </w:rPr>
        <w:drawing>
          <wp:inline distT="0" distB="0" distL="0" distR="0" wp14:anchorId="089DE654" wp14:editId="258716DE">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D558B" w:rsidRPr="000A2432" w:rsidRDefault="000A2432" w:rsidP="00EA3B77">
      <w:pPr>
        <w:spacing w:line="240" w:lineRule="auto"/>
        <w:contextualSpacing/>
        <w:rPr>
          <w:rFonts w:ascii="Times New Roman" w:hAnsi="Times New Roman" w:cs="Times New Roman"/>
          <w:lang w:val="ro-RO"/>
        </w:rPr>
      </w:pPr>
      <w:r w:rsidRPr="000A2432">
        <w:rPr>
          <w:rFonts w:ascii="Times New Roman" w:hAnsi="Times New Roman" w:cs="Times New Roman"/>
          <w:lang w:val="ro-RO"/>
        </w:rPr>
        <w:t>Numărul de examinari radiografice musculo-scheletale în anul 2017, în unităţile spitaliceşti din România</w:t>
      </w:r>
    </w:p>
    <w:p w:rsidR="002D558B" w:rsidRDefault="002D558B" w:rsidP="00EA3B77">
      <w:pPr>
        <w:spacing w:line="240" w:lineRule="auto"/>
        <w:contextualSpacing/>
        <w:rPr>
          <w:rFonts w:ascii="Times New Roman" w:hAnsi="Times New Roman" w:cs="Times New Roman"/>
          <w:b/>
          <w:lang w:val="ro-RO"/>
        </w:rPr>
      </w:pPr>
    </w:p>
    <w:p w:rsidR="00617572" w:rsidRPr="00EA3B77" w:rsidRDefault="00617572" w:rsidP="00EA3B77">
      <w:pPr>
        <w:spacing w:line="240" w:lineRule="auto"/>
        <w:contextualSpacing/>
        <w:rPr>
          <w:rFonts w:ascii="Times New Roman" w:hAnsi="Times New Roman" w:cs="Times New Roman"/>
          <w:b/>
          <w:lang w:val="ro-RO"/>
        </w:rPr>
      </w:pPr>
      <w:r w:rsidRPr="00EA3B77">
        <w:rPr>
          <w:rFonts w:ascii="Times New Roman" w:hAnsi="Times New Roman" w:cs="Times New Roman"/>
          <w:b/>
          <w:lang w:val="ro-RO"/>
        </w:rPr>
        <w:t>Examinări CT</w:t>
      </w:r>
      <w:r w:rsidR="00EA3B77">
        <w:rPr>
          <w:rFonts w:ascii="Times New Roman" w:hAnsi="Times New Roman" w:cs="Times New Roman"/>
          <w:b/>
          <w:lang w:val="ro-RO"/>
        </w:rPr>
        <w:t xml:space="preserve"> musculo-scheletale</w:t>
      </w:r>
    </w:p>
    <w:p w:rsidR="00617572" w:rsidRPr="00EA3B77" w:rsidRDefault="00EA3B77" w:rsidP="00EA3B77">
      <w:pPr>
        <w:spacing w:line="240" w:lineRule="auto"/>
        <w:contextualSpacing/>
        <w:rPr>
          <w:rFonts w:ascii="Times New Roman" w:hAnsi="Times New Roman" w:cs="Times New Roman"/>
          <w:b/>
          <w:lang w:val="ro-RO"/>
        </w:rPr>
      </w:pPr>
      <w:r w:rsidRPr="00EA3B77">
        <w:rPr>
          <w:rFonts w:ascii="Times New Roman" w:hAnsi="Times New Roman" w:cs="Times New Roman"/>
          <w:b/>
          <w:lang w:val="ro-RO"/>
        </w:rPr>
        <w:object w:dxaOrig="16715" w:dyaOrig="4670">
          <v:shape id="_x0000_i1026" type="#_x0000_t75" style="width:481.5pt;height:182.25pt" o:ole="">
            <v:imagedata r:id="rId14" o:title=""/>
          </v:shape>
          <o:OLEObject Type="Embed" ProgID="Excel.Sheet.12" ShapeID="_x0000_i1026" DrawAspect="Content" ObjectID="_1633329879" r:id="rId15"/>
        </w:object>
      </w:r>
    </w:p>
    <w:p w:rsidR="0044428A" w:rsidRDefault="0044428A" w:rsidP="00EA3B77">
      <w:pPr>
        <w:spacing w:line="240" w:lineRule="auto"/>
        <w:contextualSpacing/>
        <w:rPr>
          <w:rFonts w:ascii="Times New Roman" w:hAnsi="Times New Roman" w:cs="Times New Roman"/>
          <w:b/>
          <w:lang w:val="ro-RO"/>
        </w:rPr>
      </w:pPr>
    </w:p>
    <w:p w:rsidR="0044428A" w:rsidRDefault="0044428A" w:rsidP="00EA3B77">
      <w:pPr>
        <w:spacing w:line="240" w:lineRule="auto"/>
        <w:contextualSpacing/>
        <w:rPr>
          <w:rFonts w:ascii="Times New Roman" w:hAnsi="Times New Roman" w:cs="Times New Roman"/>
          <w:b/>
          <w:lang w:val="ro-RO"/>
        </w:rPr>
      </w:pPr>
    </w:p>
    <w:p w:rsidR="0044428A" w:rsidRDefault="0044428A" w:rsidP="00EA3B77">
      <w:pPr>
        <w:spacing w:line="240" w:lineRule="auto"/>
        <w:contextualSpacing/>
        <w:rPr>
          <w:rFonts w:ascii="Times New Roman" w:hAnsi="Times New Roman" w:cs="Times New Roman"/>
          <w:b/>
          <w:lang w:val="ro-RO"/>
        </w:rPr>
      </w:pPr>
    </w:p>
    <w:p w:rsidR="00617572" w:rsidRPr="00EA3B77" w:rsidRDefault="00617572" w:rsidP="00EA3B77">
      <w:pPr>
        <w:spacing w:line="240" w:lineRule="auto"/>
        <w:contextualSpacing/>
        <w:rPr>
          <w:rFonts w:ascii="Times New Roman" w:hAnsi="Times New Roman" w:cs="Times New Roman"/>
          <w:b/>
          <w:lang w:val="ro-RO"/>
        </w:rPr>
      </w:pPr>
      <w:r w:rsidRPr="00EA3B77">
        <w:rPr>
          <w:rFonts w:ascii="Times New Roman" w:hAnsi="Times New Roman" w:cs="Times New Roman"/>
          <w:b/>
          <w:lang w:val="ro-RO"/>
        </w:rPr>
        <w:lastRenderedPageBreak/>
        <w:t>Examinări RMN</w:t>
      </w:r>
    </w:p>
    <w:p w:rsidR="00EA3B77" w:rsidRPr="00EA3B77" w:rsidRDefault="00EA3B77" w:rsidP="00EA3B77">
      <w:pPr>
        <w:spacing w:line="240" w:lineRule="auto"/>
        <w:contextualSpacing/>
        <w:rPr>
          <w:rFonts w:ascii="Times New Roman" w:hAnsi="Times New Roman" w:cs="Times New Roman"/>
          <w:b/>
          <w:lang w:val="ro-RO"/>
        </w:rPr>
      </w:pPr>
      <w:r w:rsidRPr="00EA3B77">
        <w:rPr>
          <w:rFonts w:ascii="Times New Roman" w:hAnsi="Times New Roman" w:cs="Times New Roman"/>
          <w:b/>
          <w:lang w:val="ro-RO"/>
        </w:rPr>
        <w:object w:dxaOrig="12071" w:dyaOrig="892">
          <v:shape id="_x0000_i1027" type="#_x0000_t75" style="width:489.75pt;height:45pt" o:ole="">
            <v:imagedata r:id="rId16" o:title=""/>
          </v:shape>
          <o:OLEObject Type="Embed" ProgID="Excel.Sheet.12" ShapeID="_x0000_i1027" DrawAspect="Content" ObjectID="_1633329880" r:id="rId17"/>
        </w:object>
      </w:r>
    </w:p>
    <w:p w:rsidR="00617572" w:rsidRDefault="000A2432" w:rsidP="00EA3B77">
      <w:pPr>
        <w:spacing w:line="240" w:lineRule="auto"/>
        <w:contextualSpacing/>
        <w:rPr>
          <w:rFonts w:ascii="Times New Roman" w:hAnsi="Times New Roman" w:cs="Times New Roman"/>
          <w:b/>
          <w:lang w:val="ro-RO"/>
        </w:rPr>
      </w:pPr>
      <w:r>
        <w:rPr>
          <w:noProof/>
        </w:rPr>
        <w:drawing>
          <wp:inline distT="0" distB="0" distL="0" distR="0" wp14:anchorId="1364C0A9" wp14:editId="79302582">
            <wp:extent cx="4191000" cy="157162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A2432" w:rsidRPr="000A2432" w:rsidRDefault="000A2432" w:rsidP="00EA3B77">
      <w:pPr>
        <w:spacing w:line="240" w:lineRule="auto"/>
        <w:contextualSpacing/>
        <w:rPr>
          <w:rFonts w:ascii="Times New Roman" w:hAnsi="Times New Roman" w:cs="Times New Roman"/>
          <w:lang w:val="ro-RO"/>
        </w:rPr>
      </w:pPr>
      <w:r w:rsidRPr="000A2432">
        <w:rPr>
          <w:rFonts w:ascii="Times New Roman" w:hAnsi="Times New Roman" w:cs="Times New Roman"/>
          <w:lang w:val="ro-RO"/>
        </w:rPr>
        <w:t>Evoluţia numărului total de examinări CT şi RMN musculoscheletale în anul 2008 faţă de 2017</w:t>
      </w:r>
    </w:p>
    <w:p w:rsidR="00617572" w:rsidRPr="00EA3B77" w:rsidRDefault="00126CF0" w:rsidP="00EA3B77">
      <w:pPr>
        <w:spacing w:line="240" w:lineRule="auto"/>
        <w:contextualSpacing/>
        <w:rPr>
          <w:rFonts w:ascii="Times New Roman" w:hAnsi="Times New Roman" w:cs="Times New Roman"/>
          <w:b/>
          <w:lang w:val="ro-RO"/>
        </w:rPr>
      </w:pPr>
      <w:r w:rsidRPr="00EA3B77">
        <w:rPr>
          <w:rFonts w:ascii="Times New Roman" w:hAnsi="Times New Roman" w:cs="Times New Roman"/>
          <w:noProof/>
        </w:rPr>
        <w:drawing>
          <wp:inline distT="0" distB="0" distL="0" distR="0" wp14:anchorId="0D74388D" wp14:editId="3EAA36D0">
            <wp:extent cx="5760720" cy="2135652"/>
            <wp:effectExtent l="0" t="0" r="11430" b="171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A2432" w:rsidRPr="000A2432" w:rsidRDefault="000A2432" w:rsidP="00EA3B77">
      <w:pPr>
        <w:spacing w:after="0" w:line="240" w:lineRule="auto"/>
        <w:contextualSpacing/>
        <w:rPr>
          <w:rFonts w:ascii="Times New Roman" w:eastAsia="Times New Roman" w:hAnsi="Times New Roman" w:cs="Times New Roman"/>
          <w:bCs/>
          <w:color w:val="000000"/>
          <w:lang w:val="ro-RO"/>
        </w:rPr>
      </w:pPr>
      <w:r w:rsidRPr="000A2432">
        <w:rPr>
          <w:rFonts w:ascii="Times New Roman" w:eastAsia="Times New Roman" w:hAnsi="Times New Roman" w:cs="Times New Roman"/>
          <w:bCs/>
          <w:color w:val="000000"/>
        </w:rPr>
        <w:t>Evoluţia num</w:t>
      </w:r>
      <w:r w:rsidRPr="000A2432">
        <w:rPr>
          <w:rFonts w:ascii="Times New Roman" w:eastAsia="Times New Roman" w:hAnsi="Times New Roman" w:cs="Times New Roman"/>
          <w:bCs/>
          <w:color w:val="000000"/>
          <w:lang w:val="ro-RO"/>
        </w:rPr>
        <w:t>ărului de ecografii, CT, RMN, Rx în perioada 2007-2017, în unităţile spitaliceşti din România</w:t>
      </w:r>
    </w:p>
    <w:p w:rsidR="003F35F2" w:rsidRPr="00EA3B77" w:rsidRDefault="007E50E2" w:rsidP="00EA3B77">
      <w:pPr>
        <w:spacing w:after="0" w:line="240" w:lineRule="auto"/>
        <w:contextualSpacing/>
        <w:rPr>
          <w:rFonts w:ascii="Times New Roman" w:eastAsia="Times New Roman" w:hAnsi="Times New Roman" w:cs="Times New Roman"/>
          <w:color w:val="000000"/>
        </w:rPr>
      </w:pPr>
      <w:r w:rsidRPr="00EA3B77">
        <w:rPr>
          <w:rFonts w:ascii="Times New Roman" w:eastAsia="Times New Roman" w:hAnsi="Times New Roman" w:cs="Times New Roman"/>
          <w:b/>
          <w:bCs/>
          <w:color w:val="000000"/>
        </w:rPr>
        <w:t xml:space="preserve">Sursa: </w:t>
      </w:r>
      <w:r w:rsidRPr="00EA3B77">
        <w:rPr>
          <w:rFonts w:ascii="Times New Roman" w:eastAsia="Times New Roman" w:hAnsi="Times New Roman" w:cs="Times New Roman"/>
          <w:color w:val="000000"/>
        </w:rPr>
        <w:t>DRG (spitalele din reteaua publica a MS, Administratia locala si Academia Romana)</w:t>
      </w:r>
      <w:r w:rsidR="003F35F2" w:rsidRPr="00EA3B77">
        <w:rPr>
          <w:rFonts w:ascii="Times New Roman" w:eastAsia="Times New Roman" w:hAnsi="Times New Roman" w:cs="Times New Roman"/>
          <w:color w:val="000000"/>
        </w:rPr>
        <w:t xml:space="preserve">.Datele </w:t>
      </w:r>
    </w:p>
    <w:p w:rsidR="007E50E2" w:rsidRDefault="003F35F2" w:rsidP="00EA3B77">
      <w:pPr>
        <w:spacing w:after="0" w:line="240" w:lineRule="auto"/>
        <w:contextualSpacing/>
        <w:rPr>
          <w:rFonts w:ascii="Times New Roman" w:eastAsia="Times New Roman" w:hAnsi="Times New Roman" w:cs="Times New Roman"/>
          <w:color w:val="000000"/>
        </w:rPr>
      </w:pPr>
      <w:proofErr w:type="gramStart"/>
      <w:r w:rsidRPr="00EA3B77">
        <w:rPr>
          <w:rFonts w:ascii="Times New Roman" w:eastAsia="Times New Roman" w:hAnsi="Times New Roman" w:cs="Times New Roman"/>
          <w:color w:val="000000"/>
        </w:rPr>
        <w:t>ne-au</w:t>
      </w:r>
      <w:proofErr w:type="gramEnd"/>
      <w:r w:rsidRPr="00EA3B77">
        <w:rPr>
          <w:rFonts w:ascii="Times New Roman" w:eastAsia="Times New Roman" w:hAnsi="Times New Roman" w:cs="Times New Roman"/>
          <w:color w:val="000000"/>
        </w:rPr>
        <w:t xml:space="preserve"> fost furnizate de CNSISP.</w:t>
      </w:r>
    </w:p>
    <w:p w:rsidR="0044428A" w:rsidRPr="00EA3B77" w:rsidRDefault="0044428A" w:rsidP="00EA3B77">
      <w:pPr>
        <w:spacing w:after="0" w:line="240" w:lineRule="auto"/>
        <w:contextualSpacing/>
        <w:rPr>
          <w:rFonts w:ascii="Times New Roman" w:eastAsia="Times New Roman" w:hAnsi="Times New Roman" w:cs="Times New Roman"/>
          <w:color w:val="000000"/>
        </w:rPr>
      </w:pPr>
    </w:p>
    <w:p w:rsidR="00800D17" w:rsidRDefault="0044428A" w:rsidP="00EA3B77">
      <w:pPr>
        <w:spacing w:line="240" w:lineRule="auto"/>
        <w:contextualSpacing/>
        <w:rPr>
          <w:rFonts w:ascii="Times New Roman" w:hAnsi="Times New Roman" w:cs="Times New Roman"/>
          <w:b/>
          <w:lang w:val="ro-RO"/>
        </w:rPr>
      </w:pPr>
      <w:r w:rsidRPr="00C30B50">
        <w:rPr>
          <w:rFonts w:ascii="Times New Roman" w:hAnsi="Times New Roman" w:cs="Times New Roman"/>
          <w:b/>
          <w:lang w:val="ro-RO"/>
        </w:rPr>
        <w:t>b). Rezultate relevante din studiile naționale, europene și internaționale</w:t>
      </w:r>
    </w:p>
    <w:p w:rsidR="00136F51" w:rsidRDefault="00136F51" w:rsidP="00EA3B77">
      <w:pPr>
        <w:spacing w:line="240" w:lineRule="auto"/>
        <w:contextualSpacing/>
        <w:rPr>
          <w:rFonts w:ascii="Times New Roman" w:hAnsi="Times New Roman" w:cs="Times New Roman"/>
          <w:b/>
          <w:lang w:val="ro-RO"/>
        </w:rPr>
      </w:pPr>
      <w:r w:rsidRPr="00136F51">
        <w:rPr>
          <w:rFonts w:ascii="Times New Roman" w:hAnsi="Times New Roman" w:cs="Times New Roman"/>
          <w:b/>
        </w:rPr>
        <w:t xml:space="preserve">ORIGINAL RESEARCH </w:t>
      </w:r>
      <w:r>
        <w:rPr>
          <w:rFonts w:ascii="Times New Roman" w:hAnsi="Times New Roman" w:cs="Times New Roman"/>
          <w:b/>
        </w:rPr>
        <w:t>-</w:t>
      </w:r>
      <w:r w:rsidRPr="00136F51">
        <w:rPr>
          <w:rFonts w:ascii="Times New Roman" w:hAnsi="Times New Roman" w:cs="Times New Roman"/>
          <w:b/>
        </w:rPr>
        <w:t xml:space="preserve">DIAGNOSTIC IMAGING IN A DIRECT-ACCESS SPORTS PHYSICAL THERAPY CLINIC: A 2-YEAR RETROSPECTIVE PRACTICE ANALYSIS Michael S. Crowell, </w:t>
      </w:r>
      <w:r>
        <w:rPr>
          <w:rFonts w:ascii="Times New Roman" w:hAnsi="Times New Roman" w:cs="Times New Roman"/>
          <w:b/>
        </w:rPr>
        <w:t>PT, DSc, Erik A. Dedekam, MD</w:t>
      </w:r>
      <w:r w:rsidRPr="00136F51">
        <w:rPr>
          <w:rFonts w:ascii="Times New Roman" w:hAnsi="Times New Roman" w:cs="Times New Roman"/>
          <w:b/>
        </w:rPr>
        <w:t xml:space="preserve"> Michael R. Johnson, PT, DSc</w:t>
      </w:r>
      <w:r>
        <w:rPr>
          <w:rFonts w:ascii="Times New Roman" w:hAnsi="Times New Roman" w:cs="Times New Roman"/>
          <w:b/>
        </w:rPr>
        <w:t>1,3 Scott C. Dembowski, PT, DSc Richard B. Westrick, PT, DSc Donald L. Goss, PT, PhD</w:t>
      </w:r>
      <w:r>
        <w:rPr>
          <w:rStyle w:val="FootnoteReference"/>
          <w:rFonts w:ascii="Times New Roman" w:hAnsi="Times New Roman" w:cs="Times New Roman"/>
          <w:b/>
        </w:rPr>
        <w:footnoteReference w:id="7"/>
      </w:r>
    </w:p>
    <w:p w:rsidR="002D02DA" w:rsidRPr="002D02DA" w:rsidRDefault="002D02DA" w:rsidP="002D02DA">
      <w:pPr>
        <w:spacing w:line="240" w:lineRule="auto"/>
        <w:contextualSpacing/>
        <w:jc w:val="both"/>
        <w:rPr>
          <w:rFonts w:ascii="Times New Roman" w:hAnsi="Times New Roman" w:cs="Times New Roman"/>
        </w:rPr>
      </w:pPr>
      <w:proofErr w:type="gramStart"/>
      <w:r w:rsidRPr="002D02DA">
        <w:rPr>
          <w:rFonts w:ascii="Times New Roman" w:hAnsi="Times New Roman" w:cs="Times New Roman"/>
        </w:rPr>
        <w:t>Utilizarea judicioasă a diferitelor tipuri de examinări imagistice în patologia musculo-scheletală sportivă prezintă o importanță deosebită, atât din punct de vedere financiar (evitarea unor costuri nejustificate) cât și din punct de vedere medical (evitarea expunerii inutile a pacientului la surse de radiații asociate actului medical diagnostic).</w:t>
      </w:r>
      <w:proofErr w:type="gramEnd"/>
      <w:r w:rsidRPr="002D02DA">
        <w:rPr>
          <w:rFonts w:ascii="Times New Roman" w:hAnsi="Times New Roman" w:cs="Times New Roman"/>
        </w:rPr>
        <w:t xml:space="preserve"> </w:t>
      </w:r>
    </w:p>
    <w:p w:rsidR="002D02DA" w:rsidRPr="002D02DA" w:rsidRDefault="002D02DA" w:rsidP="002D02DA">
      <w:pPr>
        <w:spacing w:line="240" w:lineRule="auto"/>
        <w:contextualSpacing/>
        <w:jc w:val="both"/>
        <w:rPr>
          <w:rFonts w:ascii="Times New Roman" w:hAnsi="Times New Roman" w:cs="Times New Roman"/>
        </w:rPr>
      </w:pPr>
      <w:r w:rsidRPr="002D02DA">
        <w:rPr>
          <w:rFonts w:ascii="Times New Roman" w:hAnsi="Times New Roman" w:cs="Times New Roman"/>
        </w:rPr>
        <w:t>În acest sens, un studiu retrospectiv efectuat în Statele Unite ale Americii și-a propus să evalueze gradul de corelare între recomandările kinetoterapeuților/ medici sportivi pentru efectuarea de examinări RMN în funcție de patologia pacientului și procentul de examinări în care au fost identificate leziuni concrete, respectiv procentul de confirmări intra-operatorii ale acestor leziuni. Rezultatele studiului au relevat faptul că diagnosticul clinic a fost confirmat prin examinare RMN în 64</w:t>
      </w:r>
      <w:proofErr w:type="gramStart"/>
      <w:r w:rsidRPr="002D02DA">
        <w:rPr>
          <w:rFonts w:ascii="Times New Roman" w:hAnsi="Times New Roman" w:cs="Times New Roman"/>
        </w:rPr>
        <w:t>,8</w:t>
      </w:r>
      <w:proofErr w:type="gramEnd"/>
      <w:r w:rsidRPr="002D02DA">
        <w:rPr>
          <w:rFonts w:ascii="Times New Roman" w:hAnsi="Times New Roman" w:cs="Times New Roman"/>
        </w:rPr>
        <w:t xml:space="preserve">% din cazuri, 90% fiind confirmate intra-operator. </w:t>
      </w:r>
    </w:p>
    <w:p w:rsidR="0044428A" w:rsidRPr="002D02DA" w:rsidRDefault="002D02DA" w:rsidP="002D02DA">
      <w:pPr>
        <w:spacing w:line="240" w:lineRule="auto"/>
        <w:contextualSpacing/>
        <w:rPr>
          <w:rFonts w:ascii="Times New Roman" w:hAnsi="Times New Roman" w:cs="Times New Roman"/>
        </w:rPr>
      </w:pPr>
      <w:r w:rsidRPr="002D02DA">
        <w:rPr>
          <w:rFonts w:ascii="Times New Roman" w:hAnsi="Times New Roman" w:cs="Times New Roman"/>
        </w:rPr>
        <w:t xml:space="preserve">Autorii studiului recomandă cercetări ulterioare pentru compararea gradului de corelare a recomandărilor pentru efectuarea RMN musculo-scheletală între diferite categorii profesionale </w:t>
      </w:r>
      <w:r w:rsidRPr="002D02DA">
        <w:rPr>
          <w:rFonts w:ascii="Times New Roman" w:hAnsi="Times New Roman" w:cs="Times New Roman"/>
        </w:rPr>
        <w:lastRenderedPageBreak/>
        <w:t xml:space="preserve">medicale, pentru evaluarea costurilor (respectiv a potențialului de economisire) și </w:t>
      </w:r>
      <w:proofErr w:type="gramStart"/>
      <w:r w:rsidRPr="002D02DA">
        <w:rPr>
          <w:rFonts w:ascii="Times New Roman" w:hAnsi="Times New Roman" w:cs="Times New Roman"/>
        </w:rPr>
        <w:t>a</w:t>
      </w:r>
      <w:proofErr w:type="gramEnd"/>
      <w:r w:rsidRPr="002D02DA">
        <w:rPr>
          <w:rFonts w:ascii="Times New Roman" w:hAnsi="Times New Roman" w:cs="Times New Roman"/>
        </w:rPr>
        <w:t xml:space="preserve"> impactului asupra conduitei terapeutice și a rezultatelor acesteia asupra pacientului.   </w:t>
      </w:r>
    </w:p>
    <w:p w:rsidR="008C3856" w:rsidRDefault="008C3856" w:rsidP="00EA3B77">
      <w:pPr>
        <w:spacing w:line="240" w:lineRule="auto"/>
        <w:contextualSpacing/>
        <w:jc w:val="both"/>
        <w:rPr>
          <w:rFonts w:ascii="Times New Roman" w:hAnsi="Times New Roman" w:cs="Times New Roman"/>
          <w:b/>
          <w:lang w:val="ro-RO"/>
        </w:rPr>
      </w:pPr>
      <w:r w:rsidRPr="00C30B50">
        <w:rPr>
          <w:rFonts w:ascii="Times New Roman" w:hAnsi="Times New Roman" w:cs="Times New Roman"/>
          <w:b/>
          <w:lang w:val="ro-RO"/>
        </w:rPr>
        <w:t>c). Factorii de risc, Mecanismul de acțiune</w:t>
      </w:r>
      <w:r>
        <w:rPr>
          <w:rFonts w:ascii="Times New Roman" w:hAnsi="Times New Roman" w:cs="Times New Roman"/>
          <w:b/>
          <w:lang w:val="ro-RO"/>
        </w:rPr>
        <w:t>- nu se pretează subiectului în discuţie</w:t>
      </w:r>
    </w:p>
    <w:p w:rsidR="002F1FBF" w:rsidRDefault="002F1FBF" w:rsidP="00EA3B77">
      <w:pPr>
        <w:spacing w:line="240" w:lineRule="auto"/>
        <w:contextualSpacing/>
        <w:jc w:val="both"/>
        <w:rPr>
          <w:rFonts w:ascii="Times New Roman" w:hAnsi="Times New Roman" w:cs="Times New Roman"/>
          <w:b/>
          <w:lang w:val="ro-RO"/>
        </w:rPr>
      </w:pPr>
    </w:p>
    <w:p w:rsidR="008C3856" w:rsidRDefault="008C3856" w:rsidP="008C3856">
      <w:pPr>
        <w:spacing w:line="240" w:lineRule="auto"/>
        <w:contextualSpacing/>
        <w:jc w:val="both"/>
        <w:rPr>
          <w:rFonts w:ascii="Times New Roman" w:hAnsi="Times New Roman" w:cs="Times New Roman"/>
          <w:b/>
          <w:lang w:val="ro-RO"/>
        </w:rPr>
      </w:pPr>
      <w:r w:rsidRPr="00C30B50">
        <w:rPr>
          <w:rFonts w:ascii="Times New Roman" w:hAnsi="Times New Roman" w:cs="Times New Roman"/>
          <w:b/>
          <w:lang w:val="ro-RO"/>
        </w:rPr>
        <w:t xml:space="preserve">d). Intervenții eficace la nivel </w:t>
      </w:r>
      <w:r w:rsidR="00136F51">
        <w:rPr>
          <w:rFonts w:ascii="Times New Roman" w:hAnsi="Times New Roman" w:cs="Times New Roman"/>
          <w:b/>
          <w:lang w:val="ro-RO"/>
        </w:rPr>
        <w:t>inter</w:t>
      </w:r>
      <w:r w:rsidRPr="00C30B50">
        <w:rPr>
          <w:rFonts w:ascii="Times New Roman" w:hAnsi="Times New Roman" w:cs="Times New Roman"/>
          <w:b/>
          <w:lang w:val="ro-RO"/>
        </w:rPr>
        <w:t>national pentru grupurile ț</w:t>
      </w:r>
      <w:r>
        <w:rPr>
          <w:rFonts w:ascii="Times New Roman" w:hAnsi="Times New Roman" w:cs="Times New Roman"/>
          <w:b/>
          <w:lang w:val="ro-RO"/>
        </w:rPr>
        <w:t>intă ale campaniei</w:t>
      </w:r>
    </w:p>
    <w:p w:rsidR="006F441C" w:rsidRPr="002D02DA" w:rsidRDefault="006F441C" w:rsidP="006F441C">
      <w:pPr>
        <w:pStyle w:val="Heading1"/>
        <w:shd w:val="clear" w:color="auto" w:fill="FFFFFF"/>
        <w:spacing w:before="0" w:line="240" w:lineRule="auto"/>
        <w:ind w:right="300"/>
        <w:contextualSpacing/>
        <w:textAlignment w:val="baseline"/>
        <w:rPr>
          <w:rFonts w:ascii="Times New Roman" w:hAnsi="Times New Roman" w:cs="Times New Roman"/>
          <w:color w:val="auto"/>
          <w:sz w:val="22"/>
          <w:szCs w:val="22"/>
          <w:bdr w:val="none" w:sz="0" w:space="0" w:color="auto" w:frame="1"/>
        </w:rPr>
      </w:pPr>
      <w:r w:rsidRPr="002D02DA">
        <w:rPr>
          <w:rFonts w:ascii="Times New Roman" w:hAnsi="Times New Roman" w:cs="Times New Roman"/>
          <w:color w:val="auto"/>
          <w:sz w:val="22"/>
          <w:szCs w:val="22"/>
          <w:bdr w:val="none" w:sz="0" w:space="0" w:color="auto" w:frame="1"/>
        </w:rPr>
        <w:t xml:space="preserve">Inițiativa globală OMS privind siguranța utilizării radiațiilor în domeniul sănătății </w:t>
      </w:r>
    </w:p>
    <w:p w:rsidR="006F441C" w:rsidRPr="002D02DA" w:rsidRDefault="006F441C" w:rsidP="006F441C">
      <w:pPr>
        <w:pStyle w:val="Heading1"/>
        <w:shd w:val="clear" w:color="auto" w:fill="FFFFFF"/>
        <w:spacing w:before="0" w:line="240" w:lineRule="auto"/>
        <w:ind w:right="300"/>
        <w:contextualSpacing/>
        <w:textAlignment w:val="baseline"/>
        <w:rPr>
          <w:rFonts w:ascii="Times New Roman" w:hAnsi="Times New Roman" w:cs="Times New Roman"/>
          <w:color w:val="auto"/>
          <w:sz w:val="22"/>
          <w:szCs w:val="22"/>
          <w:bdr w:val="none" w:sz="0" w:space="0" w:color="auto" w:frame="1"/>
        </w:rPr>
      </w:pPr>
      <w:r w:rsidRPr="002D02DA">
        <w:rPr>
          <w:rFonts w:ascii="Times New Roman" w:hAnsi="Times New Roman" w:cs="Times New Roman"/>
          <w:color w:val="auto"/>
          <w:sz w:val="22"/>
          <w:szCs w:val="22"/>
          <w:bdr w:val="none" w:sz="0" w:space="0" w:color="auto" w:frame="1"/>
        </w:rPr>
        <w:t>(WHO Global Initiative on Radiation Safety in Health Care Settings)</w:t>
      </w:r>
    </w:p>
    <w:p w:rsidR="006F441C" w:rsidRPr="002D02DA" w:rsidRDefault="006F441C" w:rsidP="006F441C">
      <w:pPr>
        <w:pStyle w:val="NormalWeb"/>
        <w:shd w:val="clear" w:color="auto" w:fill="FFFFFF"/>
        <w:spacing w:before="0" w:beforeAutospacing="0" w:after="0" w:afterAutospacing="0"/>
        <w:ind w:right="300"/>
        <w:contextualSpacing/>
        <w:jc w:val="both"/>
        <w:textAlignment w:val="baseline"/>
        <w:rPr>
          <w:sz w:val="22"/>
          <w:szCs w:val="22"/>
        </w:rPr>
      </w:pPr>
      <w:r w:rsidRPr="002D02DA">
        <w:rPr>
          <w:sz w:val="22"/>
          <w:szCs w:val="22"/>
          <w:bdr w:val="none" w:sz="0" w:space="0" w:color="auto" w:frame="1"/>
        </w:rPr>
        <w:t xml:space="preserve">Anual, la nivel mondial, se efectuează mai mult de 3600 de milioane de examinări radiologice </w:t>
      </w:r>
      <w:r w:rsidRPr="002D02DA">
        <w:rPr>
          <w:sz w:val="22"/>
          <w:szCs w:val="22"/>
          <w:bdr w:val="none" w:sz="0" w:space="0" w:color="auto" w:frame="1"/>
          <w:lang w:val="ro-RO"/>
        </w:rPr>
        <w:t>în scop</w:t>
      </w:r>
      <w:r w:rsidRPr="002D02DA">
        <w:rPr>
          <w:sz w:val="22"/>
          <w:szCs w:val="22"/>
          <w:bdr w:val="none" w:sz="0" w:space="0" w:color="auto" w:frame="1"/>
        </w:rPr>
        <w:t xml:space="preserve"> diagnostic, 37 de milioane de proceduri de medicină nucleară şi  7,5 milioane de tratamente radioterapice (conform UNSCEAR, 2008).</w:t>
      </w:r>
    </w:p>
    <w:p w:rsidR="006F441C" w:rsidRPr="002D02DA" w:rsidRDefault="006F441C" w:rsidP="006F441C">
      <w:pPr>
        <w:pStyle w:val="NormalWeb"/>
        <w:shd w:val="clear" w:color="auto" w:fill="FFFFFF"/>
        <w:spacing w:before="0" w:beforeAutospacing="0" w:after="0" w:afterAutospacing="0"/>
        <w:ind w:right="300"/>
        <w:contextualSpacing/>
        <w:textAlignment w:val="baseline"/>
        <w:rPr>
          <w:sz w:val="22"/>
          <w:szCs w:val="22"/>
        </w:rPr>
      </w:pPr>
      <w:proofErr w:type="gramStart"/>
      <w:r w:rsidRPr="002D02DA">
        <w:rPr>
          <w:sz w:val="22"/>
          <w:szCs w:val="22"/>
          <w:bdr w:val="none" w:sz="0" w:space="0" w:color="auto" w:frame="1"/>
        </w:rPr>
        <w:t>Utilizarea radiațiilor ionizante pentru diagnosticare și tratament ajută milioane de pacienți la nivel mondial, permite diagnosticarea precoce și adesea oferă tratamente mai puțin invazive pentru diverse patologii.</w:t>
      </w:r>
      <w:proofErr w:type="gramEnd"/>
      <w:r w:rsidRPr="002D02DA">
        <w:rPr>
          <w:sz w:val="22"/>
          <w:szCs w:val="22"/>
          <w:bdr w:val="none" w:sz="0" w:space="0" w:color="auto" w:frame="1"/>
        </w:rPr>
        <w:t> </w:t>
      </w:r>
      <w:proofErr w:type="gramStart"/>
      <w:r w:rsidRPr="002D02DA">
        <w:rPr>
          <w:sz w:val="22"/>
          <w:szCs w:val="22"/>
          <w:bdr w:val="none" w:sz="0" w:space="0" w:color="auto" w:frame="1"/>
        </w:rPr>
        <w:t>Tehnologia avansată a radiațiilor a deschis noi orizonturi în radiologia diagnostică și intervențională, medicina nucleară și radioterapie.</w:t>
      </w:r>
      <w:proofErr w:type="gramEnd"/>
    </w:p>
    <w:p w:rsidR="006F441C" w:rsidRPr="002D02DA" w:rsidRDefault="006F441C" w:rsidP="006F441C">
      <w:pPr>
        <w:pStyle w:val="NormalWeb"/>
        <w:shd w:val="clear" w:color="auto" w:fill="FFFFFF"/>
        <w:spacing w:before="0" w:beforeAutospacing="0" w:after="0" w:afterAutospacing="0"/>
        <w:ind w:right="300"/>
        <w:contextualSpacing/>
        <w:jc w:val="both"/>
        <w:textAlignment w:val="baseline"/>
        <w:rPr>
          <w:sz w:val="22"/>
          <w:szCs w:val="22"/>
          <w:bdr w:val="none" w:sz="0" w:space="0" w:color="auto" w:frame="1"/>
        </w:rPr>
      </w:pPr>
      <w:r w:rsidRPr="002D02DA">
        <w:rPr>
          <w:sz w:val="22"/>
          <w:szCs w:val="22"/>
          <w:bdr w:val="none" w:sz="0" w:space="0" w:color="auto" w:frame="1"/>
        </w:rPr>
        <w:t xml:space="preserve">În timp ce dezvoltarea tehnologiei moderne în domeniul sănătății face ca noile aplicații să fie mai sigure, utilizarea lor necorespunzătoare poate duce la riscuri </w:t>
      </w:r>
      <w:proofErr w:type="gramStart"/>
      <w:r w:rsidRPr="002D02DA">
        <w:rPr>
          <w:sz w:val="22"/>
          <w:szCs w:val="22"/>
          <w:bdr w:val="none" w:sz="0" w:space="0" w:color="auto" w:frame="1"/>
        </w:rPr>
        <w:t>inutile  în</w:t>
      </w:r>
      <w:proofErr w:type="gramEnd"/>
      <w:r w:rsidRPr="002D02DA">
        <w:rPr>
          <w:sz w:val="22"/>
          <w:szCs w:val="22"/>
          <w:bdr w:val="none" w:sz="0" w:space="0" w:color="auto" w:frame="1"/>
        </w:rPr>
        <w:t xml:space="preserve"> special la copii. </w:t>
      </w:r>
    </w:p>
    <w:p w:rsidR="006F441C" w:rsidRPr="002D02DA" w:rsidRDefault="006F441C" w:rsidP="006F441C">
      <w:pPr>
        <w:pStyle w:val="NormalWeb"/>
        <w:shd w:val="clear" w:color="auto" w:fill="FFFFFF"/>
        <w:spacing w:before="0" w:beforeAutospacing="0" w:after="0" w:afterAutospacing="0"/>
        <w:ind w:right="300"/>
        <w:contextualSpacing/>
        <w:jc w:val="both"/>
        <w:textAlignment w:val="baseline"/>
        <w:rPr>
          <w:sz w:val="22"/>
          <w:szCs w:val="22"/>
        </w:rPr>
      </w:pPr>
      <w:r w:rsidRPr="002D02DA">
        <w:rPr>
          <w:sz w:val="22"/>
          <w:szCs w:val="22"/>
          <w:bdr w:val="none" w:sz="0" w:space="0" w:color="auto" w:frame="1"/>
        </w:rPr>
        <w:t xml:space="preserve">Este necesară deci, o abordare echilibrată care să evalueze avantajele multiple ale radiaţiilor ionizante asupra sănătății, asigurând în același timp </w:t>
      </w:r>
      <w:proofErr w:type="gramStart"/>
      <w:r w:rsidRPr="002D02DA">
        <w:rPr>
          <w:sz w:val="22"/>
          <w:szCs w:val="22"/>
          <w:bdr w:val="none" w:sz="0" w:space="0" w:color="auto" w:frame="1"/>
        </w:rPr>
        <w:t>şi  reducerea</w:t>
      </w:r>
      <w:proofErr w:type="gramEnd"/>
      <w:r w:rsidRPr="002D02DA">
        <w:rPr>
          <w:sz w:val="22"/>
          <w:szCs w:val="22"/>
          <w:bdr w:val="none" w:sz="0" w:space="0" w:color="auto" w:frame="1"/>
        </w:rPr>
        <w:t xml:space="preserve"> riscurilor.</w:t>
      </w:r>
      <w:r w:rsidRPr="002D02DA">
        <w:rPr>
          <w:sz w:val="22"/>
          <w:szCs w:val="22"/>
          <w:bdr w:val="none" w:sz="0" w:space="0" w:color="auto" w:frame="1"/>
        </w:rPr>
        <w:t xml:space="preserve">(vezi </w:t>
      </w:r>
      <w:r w:rsidR="002D02DA" w:rsidRPr="002D02DA">
        <w:rPr>
          <w:sz w:val="22"/>
          <w:szCs w:val="22"/>
          <w:bdr w:val="none" w:sz="0" w:space="0" w:color="auto" w:frame="1"/>
        </w:rPr>
        <w:t>şi punctu</w:t>
      </w:r>
      <w:r w:rsidRPr="002D02DA">
        <w:rPr>
          <w:sz w:val="22"/>
          <w:szCs w:val="22"/>
          <w:bdr w:val="none" w:sz="0" w:space="0" w:color="auto" w:frame="1"/>
        </w:rPr>
        <w:t xml:space="preserve">l </w:t>
      </w:r>
      <w:r w:rsidR="002D02DA">
        <w:rPr>
          <w:sz w:val="22"/>
          <w:szCs w:val="22"/>
          <w:bdr w:val="none" w:sz="0" w:space="0" w:color="auto" w:frame="1"/>
        </w:rPr>
        <w:t>f).</w:t>
      </w:r>
    </w:p>
    <w:p w:rsidR="002224FD" w:rsidRPr="00C30B50" w:rsidRDefault="002224FD" w:rsidP="008C3856">
      <w:pPr>
        <w:spacing w:line="240" w:lineRule="auto"/>
        <w:contextualSpacing/>
        <w:jc w:val="both"/>
        <w:rPr>
          <w:rFonts w:ascii="Times New Roman" w:hAnsi="Times New Roman" w:cs="Times New Roman"/>
          <w:b/>
          <w:lang w:val="ro-RO"/>
        </w:rPr>
      </w:pPr>
    </w:p>
    <w:p w:rsidR="008C3856" w:rsidRPr="00EA3B77" w:rsidRDefault="008C3856" w:rsidP="008C3856">
      <w:pPr>
        <w:spacing w:line="240" w:lineRule="auto"/>
        <w:contextualSpacing/>
        <w:jc w:val="both"/>
        <w:rPr>
          <w:rFonts w:ascii="Times New Roman" w:hAnsi="Times New Roman" w:cs="Times New Roman"/>
        </w:rPr>
      </w:pPr>
      <w:r w:rsidRPr="00C30B50">
        <w:rPr>
          <w:rFonts w:ascii="Times New Roman" w:hAnsi="Times New Roman" w:cs="Times New Roman"/>
          <w:b/>
          <w:lang w:val="ro-RO"/>
        </w:rPr>
        <w:t>e). Evidențe utile pentru intervenții la nivel național, european și international</w:t>
      </w:r>
    </w:p>
    <w:p w:rsidR="007C0BF8" w:rsidRPr="00EA3B77" w:rsidRDefault="007C0BF8" w:rsidP="00EA3B77">
      <w:pPr>
        <w:spacing w:line="240" w:lineRule="auto"/>
        <w:contextualSpacing/>
        <w:jc w:val="both"/>
        <w:rPr>
          <w:rFonts w:ascii="Times New Roman" w:hAnsi="Times New Roman" w:cs="Times New Roman"/>
        </w:rPr>
      </w:pPr>
      <w:r w:rsidRPr="00EA3B77">
        <w:rPr>
          <w:rFonts w:ascii="Times New Roman" w:hAnsi="Times New Roman" w:cs="Times New Roman"/>
        </w:rPr>
        <w:t>În România, a fost publicat în anul 2005 ”Ghidul de utilizare a examenelor radiologice şi imagistice medicale”, prin traducerea în limba română a ghidului de bune practici dezvoltat în Franța</w:t>
      </w:r>
      <w:r w:rsidR="00857A66" w:rsidRPr="00EA3B77">
        <w:rPr>
          <w:rStyle w:val="FootnoteReference"/>
          <w:rFonts w:ascii="Times New Roman" w:hAnsi="Times New Roman" w:cs="Times New Roman"/>
        </w:rPr>
        <w:footnoteReference w:id="8"/>
      </w:r>
      <w:r w:rsidRPr="00EA3B77">
        <w:rPr>
          <w:rFonts w:ascii="Times New Roman" w:hAnsi="Times New Roman" w:cs="Times New Roman"/>
        </w:rPr>
        <w:t xml:space="preserve">. </w:t>
      </w:r>
      <w:proofErr w:type="gramStart"/>
      <w:r w:rsidRPr="00EA3B77">
        <w:rPr>
          <w:rFonts w:ascii="Times New Roman" w:hAnsi="Times New Roman" w:cs="Times New Roman"/>
        </w:rPr>
        <w:t>Acest ghid se adresează specialiștilor în domeniu și cuprinde recomandări specifice pentru utilizarea examinărilor imagistice în diferitele patologii ale aparatelor și sistemelor organismului.</w:t>
      </w:r>
      <w:proofErr w:type="gramEnd"/>
      <w:r w:rsidRPr="00EA3B77">
        <w:rPr>
          <w:rFonts w:ascii="Times New Roman" w:hAnsi="Times New Roman" w:cs="Times New Roman"/>
        </w:rPr>
        <w:t xml:space="preserve"> De asemenea, menționăm ca resursă adresată populației generale lucrarea ”Radiologie Intervențională - Ghidul Pacientului ”, în cadrul căreia sunt prezentate informații cu privire la examinările radiologice intervenționale într-o manieră adaptată persoanelor fără cunoștințe în domeniul medical.</w:t>
      </w:r>
      <w:r w:rsidR="00857A66" w:rsidRPr="00EA3B77">
        <w:rPr>
          <w:rStyle w:val="FootnoteReference"/>
          <w:rFonts w:ascii="Times New Roman" w:hAnsi="Times New Roman" w:cs="Times New Roman"/>
        </w:rPr>
        <w:footnoteReference w:id="9"/>
      </w:r>
      <w:r w:rsidRPr="00EA3B77">
        <w:rPr>
          <w:rFonts w:ascii="Times New Roman" w:hAnsi="Times New Roman" w:cs="Times New Roman"/>
        </w:rPr>
        <w:t xml:space="preserve">  </w:t>
      </w:r>
    </w:p>
    <w:p w:rsidR="002224FD" w:rsidRDefault="002224FD" w:rsidP="00EA3B77">
      <w:pPr>
        <w:autoSpaceDE w:val="0"/>
        <w:autoSpaceDN w:val="0"/>
        <w:adjustRightInd w:val="0"/>
        <w:spacing w:after="0" w:line="240" w:lineRule="auto"/>
        <w:contextualSpacing/>
        <w:rPr>
          <w:rFonts w:ascii="Times New Roman" w:hAnsi="Times New Roman" w:cs="Times New Roman"/>
          <w:b/>
          <w:lang w:val="ro-RO"/>
        </w:rPr>
      </w:pPr>
    </w:p>
    <w:p w:rsidR="002E24C5" w:rsidRPr="00EA3B77" w:rsidRDefault="008C3856" w:rsidP="00EA3B77">
      <w:pPr>
        <w:autoSpaceDE w:val="0"/>
        <w:autoSpaceDN w:val="0"/>
        <w:adjustRightInd w:val="0"/>
        <w:spacing w:after="0" w:line="240" w:lineRule="auto"/>
        <w:contextualSpacing/>
        <w:rPr>
          <w:rFonts w:ascii="Times New Roman" w:hAnsi="Times New Roman" w:cs="Times New Roman"/>
        </w:rPr>
      </w:pPr>
      <w:r w:rsidRPr="00C30B50">
        <w:rPr>
          <w:rFonts w:ascii="Times New Roman" w:hAnsi="Times New Roman" w:cs="Times New Roman"/>
          <w:b/>
          <w:lang w:val="ro-RO"/>
        </w:rPr>
        <w:t>f). Politici, strategii, planuri de acțiune şi programe existente</w:t>
      </w:r>
      <w:r>
        <w:rPr>
          <w:rFonts w:ascii="Times New Roman" w:hAnsi="Times New Roman" w:cs="Times New Roman"/>
          <w:b/>
          <w:lang w:val="ro-RO"/>
        </w:rPr>
        <w:t xml:space="preserve"> la nivel european, național</w:t>
      </w:r>
    </w:p>
    <w:p w:rsidR="002E24C5" w:rsidRPr="002D02DA" w:rsidRDefault="006F441C" w:rsidP="00EA3B77">
      <w:pPr>
        <w:pStyle w:val="NormalWeb"/>
        <w:shd w:val="clear" w:color="auto" w:fill="FFFFFF"/>
        <w:spacing w:before="0" w:beforeAutospacing="0" w:after="0" w:afterAutospacing="0"/>
        <w:ind w:right="300"/>
        <w:contextualSpacing/>
        <w:jc w:val="both"/>
        <w:textAlignment w:val="baseline"/>
        <w:rPr>
          <w:sz w:val="22"/>
          <w:szCs w:val="22"/>
        </w:rPr>
      </w:pPr>
      <w:r w:rsidRPr="002D02DA">
        <w:rPr>
          <w:b/>
          <w:sz w:val="22"/>
          <w:szCs w:val="22"/>
          <w:bdr w:val="none" w:sz="0" w:space="0" w:color="auto" w:frame="1"/>
        </w:rPr>
        <w:t>OMS</w:t>
      </w:r>
      <w:r w:rsidRPr="002D02DA">
        <w:rPr>
          <w:sz w:val="22"/>
          <w:szCs w:val="22"/>
          <w:bdr w:val="none" w:sz="0" w:space="0" w:color="auto" w:frame="1"/>
        </w:rPr>
        <w:t xml:space="preserve"> coordonează</w:t>
      </w:r>
      <w:r w:rsidR="002E24C5" w:rsidRPr="002D02DA">
        <w:rPr>
          <w:sz w:val="22"/>
          <w:szCs w:val="22"/>
          <w:bdr w:val="none" w:sz="0" w:space="0" w:color="auto" w:frame="1"/>
        </w:rPr>
        <w:t> </w:t>
      </w:r>
      <w:r w:rsidR="002E24C5" w:rsidRPr="002D02DA">
        <w:rPr>
          <w:b/>
          <w:iCs/>
          <w:sz w:val="22"/>
          <w:szCs w:val="22"/>
          <w:bdr w:val="none" w:sz="0" w:space="0" w:color="auto" w:frame="1"/>
        </w:rPr>
        <w:t>INIȚIATIVĂ GLOBALĂ PRIVIND SIGURANȚA UTILIZĂRII RADIAȚIILOR ÎN DOMENIUL SĂNĂTĂȚ</w:t>
      </w:r>
      <w:r w:rsidR="00126CF0" w:rsidRPr="002D02DA">
        <w:rPr>
          <w:b/>
          <w:iCs/>
          <w:sz w:val="22"/>
          <w:szCs w:val="22"/>
          <w:bdr w:val="none" w:sz="0" w:space="0" w:color="auto" w:frame="1"/>
        </w:rPr>
        <w:t>II</w:t>
      </w:r>
      <w:r w:rsidR="00857A66" w:rsidRPr="002D02DA">
        <w:rPr>
          <w:rStyle w:val="FootnoteReference"/>
          <w:b/>
          <w:iCs/>
          <w:sz w:val="22"/>
          <w:szCs w:val="22"/>
          <w:bdr w:val="none" w:sz="0" w:space="0" w:color="auto" w:frame="1"/>
        </w:rPr>
        <w:footnoteReference w:id="10"/>
      </w:r>
      <w:r w:rsidR="00126CF0" w:rsidRPr="002D02DA">
        <w:rPr>
          <w:iCs/>
          <w:sz w:val="22"/>
          <w:szCs w:val="22"/>
          <w:bdr w:val="none" w:sz="0" w:space="0" w:color="auto" w:frame="1"/>
        </w:rPr>
        <w:t xml:space="preserve"> în</w:t>
      </w:r>
      <w:r w:rsidR="002E24C5" w:rsidRPr="002D02DA">
        <w:rPr>
          <w:iCs/>
          <w:sz w:val="22"/>
          <w:szCs w:val="22"/>
          <w:bdr w:val="none" w:sz="0" w:space="0" w:color="auto" w:frame="1"/>
        </w:rPr>
        <w:t xml:space="preserve"> </w:t>
      </w:r>
      <w:r w:rsidR="00126CF0" w:rsidRPr="002D02DA">
        <w:rPr>
          <w:iCs/>
          <w:sz w:val="22"/>
          <w:szCs w:val="22"/>
          <w:bdr w:val="none" w:sz="0" w:space="0" w:color="auto" w:frame="1"/>
        </w:rPr>
        <w:t xml:space="preserve">vederea </w:t>
      </w:r>
      <w:r w:rsidR="00126CF0" w:rsidRPr="002D02DA">
        <w:rPr>
          <w:sz w:val="22"/>
          <w:szCs w:val="22"/>
          <w:bdr w:val="none" w:sz="0" w:space="0" w:color="auto" w:frame="1"/>
        </w:rPr>
        <w:t>utilizării</w:t>
      </w:r>
      <w:r w:rsidR="002E24C5" w:rsidRPr="002D02DA">
        <w:rPr>
          <w:sz w:val="22"/>
          <w:szCs w:val="22"/>
          <w:bdr w:val="none" w:sz="0" w:space="0" w:color="auto" w:frame="1"/>
        </w:rPr>
        <w:t xml:space="preserve"> eficiente a radiațiilor ionizante în medicină</w:t>
      </w:r>
      <w:proofErr w:type="gramStart"/>
      <w:r w:rsidR="002E24C5" w:rsidRPr="002D02DA">
        <w:rPr>
          <w:sz w:val="22"/>
          <w:szCs w:val="22"/>
          <w:bdr w:val="none" w:sz="0" w:space="0" w:color="auto" w:frame="1"/>
        </w:rPr>
        <w:t>,  precum</w:t>
      </w:r>
      <w:proofErr w:type="gramEnd"/>
      <w:r w:rsidR="002E24C5" w:rsidRPr="002D02DA">
        <w:rPr>
          <w:sz w:val="22"/>
          <w:szCs w:val="22"/>
          <w:bdr w:val="none" w:sz="0" w:space="0" w:color="auto" w:frame="1"/>
        </w:rPr>
        <w:t xml:space="preserve"> şi pentru punerea în aplicare a standardelor de siguranță împotriva  radiațiilor ionizante în cadrul instituțiilor medicale.</w:t>
      </w:r>
    </w:p>
    <w:p w:rsidR="002E24C5" w:rsidRPr="002D02DA" w:rsidRDefault="002E24C5" w:rsidP="00EA3B77">
      <w:pPr>
        <w:pStyle w:val="NormalWeb"/>
        <w:shd w:val="clear" w:color="auto" w:fill="FFFFFF"/>
        <w:spacing w:before="0" w:beforeAutospacing="0" w:after="0" w:afterAutospacing="0"/>
        <w:ind w:right="300"/>
        <w:contextualSpacing/>
        <w:textAlignment w:val="baseline"/>
        <w:rPr>
          <w:sz w:val="22"/>
          <w:szCs w:val="22"/>
        </w:rPr>
      </w:pPr>
      <w:r w:rsidRPr="002D02DA">
        <w:rPr>
          <w:sz w:val="22"/>
          <w:szCs w:val="22"/>
          <w:bdr w:val="none" w:sz="0" w:space="0" w:color="auto" w:frame="1"/>
        </w:rPr>
        <w:t>Această inițiativă are trei domenii principale de activitate:</w:t>
      </w:r>
    </w:p>
    <w:p w:rsidR="002E24C5" w:rsidRPr="002D02DA" w:rsidRDefault="002E24C5" w:rsidP="00EA3B77">
      <w:pPr>
        <w:pStyle w:val="Heading4"/>
        <w:shd w:val="clear" w:color="auto" w:fill="FFFFFF"/>
        <w:spacing w:before="0" w:line="240" w:lineRule="auto"/>
        <w:ind w:right="300"/>
        <w:contextualSpacing/>
        <w:textAlignment w:val="baseline"/>
        <w:rPr>
          <w:rFonts w:ascii="Times New Roman" w:hAnsi="Times New Roman" w:cs="Times New Roman"/>
          <w:color w:val="auto"/>
        </w:rPr>
      </w:pPr>
      <w:r w:rsidRPr="002D02DA">
        <w:rPr>
          <w:rFonts w:ascii="Times New Roman" w:hAnsi="Times New Roman" w:cs="Times New Roman"/>
          <w:color w:val="auto"/>
          <w:bdr w:val="none" w:sz="0" w:space="0" w:color="auto" w:frame="1"/>
        </w:rPr>
        <w:t>1. Evaluarea riscului</w:t>
      </w:r>
    </w:p>
    <w:p w:rsidR="002E24C5" w:rsidRPr="002D02DA" w:rsidRDefault="00126CF0" w:rsidP="00EA3B77">
      <w:pPr>
        <w:numPr>
          <w:ilvl w:val="0"/>
          <w:numId w:val="3"/>
        </w:numPr>
        <w:shd w:val="clear" w:color="auto" w:fill="FFFFFF"/>
        <w:spacing w:after="0" w:line="240" w:lineRule="auto"/>
        <w:ind w:left="0" w:right="300"/>
        <w:contextualSpacing/>
        <w:textAlignment w:val="baseline"/>
        <w:rPr>
          <w:rFonts w:ascii="Times New Roman" w:hAnsi="Times New Roman" w:cs="Times New Roman"/>
        </w:rPr>
      </w:pPr>
      <w:r w:rsidRPr="002D02DA">
        <w:rPr>
          <w:rFonts w:ascii="Times New Roman" w:hAnsi="Times New Roman" w:cs="Times New Roman"/>
          <w:bdr w:val="none" w:sz="0" w:space="0" w:color="auto" w:frame="1"/>
        </w:rPr>
        <w:t>Evaluarea dozei</w:t>
      </w:r>
      <w:r w:rsidR="002E24C5" w:rsidRPr="002D02DA">
        <w:rPr>
          <w:rFonts w:ascii="Times New Roman" w:hAnsi="Times New Roman" w:cs="Times New Roman"/>
          <w:bdr w:val="none" w:sz="0" w:space="0" w:color="auto" w:frame="1"/>
        </w:rPr>
        <w:t xml:space="preserve"> </w:t>
      </w:r>
      <w:proofErr w:type="gramStart"/>
      <w:r w:rsidR="002E24C5" w:rsidRPr="002D02DA">
        <w:rPr>
          <w:rFonts w:ascii="Times New Roman" w:hAnsi="Times New Roman" w:cs="Times New Roman"/>
          <w:bdr w:val="none" w:sz="0" w:space="0" w:color="auto" w:frame="1"/>
        </w:rPr>
        <w:t>de  iradiere</w:t>
      </w:r>
      <w:proofErr w:type="gramEnd"/>
      <w:r w:rsidR="002E24C5" w:rsidRPr="002D02DA">
        <w:rPr>
          <w:rFonts w:ascii="Times New Roman" w:hAnsi="Times New Roman" w:cs="Times New Roman"/>
          <w:bdr w:val="none" w:sz="0" w:space="0" w:color="auto" w:frame="1"/>
        </w:rPr>
        <w:t xml:space="preserve"> în rândul populației, în urma utilizării radiațiilor ionizante în scop diagnostic sau terapeutic.</w:t>
      </w:r>
    </w:p>
    <w:p w:rsidR="002E24C5" w:rsidRPr="002D02DA" w:rsidRDefault="002E24C5" w:rsidP="00EA3B77">
      <w:pPr>
        <w:numPr>
          <w:ilvl w:val="0"/>
          <w:numId w:val="3"/>
        </w:numPr>
        <w:shd w:val="clear" w:color="auto" w:fill="FFFFFF"/>
        <w:spacing w:after="0" w:line="240" w:lineRule="auto"/>
        <w:ind w:left="0" w:right="300"/>
        <w:contextualSpacing/>
        <w:textAlignment w:val="baseline"/>
        <w:rPr>
          <w:rFonts w:ascii="Times New Roman" w:hAnsi="Times New Roman" w:cs="Times New Roman"/>
        </w:rPr>
      </w:pPr>
      <w:r w:rsidRPr="002D02DA">
        <w:rPr>
          <w:rFonts w:ascii="Times New Roman" w:hAnsi="Times New Roman" w:cs="Times New Roman"/>
          <w:bdr w:val="none" w:sz="0" w:space="0" w:color="auto" w:frame="1"/>
        </w:rPr>
        <w:t xml:space="preserve"> Cercetări în </w:t>
      </w:r>
      <w:proofErr w:type="gramStart"/>
      <w:r w:rsidRPr="002D02DA">
        <w:rPr>
          <w:rFonts w:ascii="Times New Roman" w:hAnsi="Times New Roman" w:cs="Times New Roman"/>
          <w:bdr w:val="none" w:sz="0" w:space="0" w:color="auto" w:frame="1"/>
        </w:rPr>
        <w:t>domeniul  protec</w:t>
      </w:r>
      <w:proofErr w:type="gramEnd"/>
      <w:r w:rsidRPr="002D02DA">
        <w:rPr>
          <w:rFonts w:ascii="Times New Roman" w:hAnsi="Times New Roman" w:cs="Times New Roman"/>
          <w:bdr w:val="none" w:sz="0" w:space="0" w:color="auto" w:frame="1"/>
        </w:rPr>
        <w:t>ției împotriva radiațiilor în medicină (acordând prioritate asistenței medicale pediatrice).</w:t>
      </w:r>
    </w:p>
    <w:p w:rsidR="002E24C5" w:rsidRPr="002D02DA" w:rsidRDefault="002E24C5" w:rsidP="00EA3B77">
      <w:pPr>
        <w:pStyle w:val="Heading4"/>
        <w:shd w:val="clear" w:color="auto" w:fill="FFFFFF"/>
        <w:spacing w:before="0" w:line="240" w:lineRule="auto"/>
        <w:ind w:right="300"/>
        <w:contextualSpacing/>
        <w:textAlignment w:val="baseline"/>
        <w:rPr>
          <w:rFonts w:ascii="Times New Roman" w:hAnsi="Times New Roman" w:cs="Times New Roman"/>
          <w:color w:val="auto"/>
        </w:rPr>
      </w:pPr>
      <w:r w:rsidRPr="002D02DA">
        <w:rPr>
          <w:rFonts w:ascii="Times New Roman" w:hAnsi="Times New Roman" w:cs="Times New Roman"/>
          <w:color w:val="auto"/>
          <w:bdr w:val="none" w:sz="0" w:space="0" w:color="auto" w:frame="1"/>
        </w:rPr>
        <w:t>2. Managementul riscului</w:t>
      </w:r>
    </w:p>
    <w:p w:rsidR="002E24C5" w:rsidRPr="002D02DA" w:rsidRDefault="002E24C5" w:rsidP="00EA3B77">
      <w:pPr>
        <w:numPr>
          <w:ilvl w:val="0"/>
          <w:numId w:val="4"/>
        </w:numPr>
        <w:shd w:val="clear" w:color="auto" w:fill="FFFFFF"/>
        <w:spacing w:after="0" w:line="240" w:lineRule="auto"/>
        <w:ind w:left="0" w:right="300"/>
        <w:contextualSpacing/>
        <w:jc w:val="both"/>
        <w:textAlignment w:val="baseline"/>
        <w:rPr>
          <w:rFonts w:ascii="Times New Roman" w:hAnsi="Times New Roman" w:cs="Times New Roman"/>
        </w:rPr>
      </w:pPr>
      <w:r w:rsidRPr="002D02DA">
        <w:rPr>
          <w:rFonts w:ascii="Times New Roman" w:hAnsi="Times New Roman" w:cs="Times New Roman"/>
          <w:bdr w:val="none" w:sz="0" w:space="0" w:color="auto" w:frame="1"/>
        </w:rPr>
        <w:t>Reducerea expunerilor inutile la radiații (justificarea examinărilor medicale și optimizarea protecției).</w:t>
      </w:r>
    </w:p>
    <w:p w:rsidR="002E24C5" w:rsidRPr="002D02DA" w:rsidRDefault="002E24C5" w:rsidP="00EA3B77">
      <w:pPr>
        <w:numPr>
          <w:ilvl w:val="0"/>
          <w:numId w:val="4"/>
        </w:numPr>
        <w:shd w:val="clear" w:color="auto" w:fill="FFFFFF"/>
        <w:spacing w:after="0" w:line="240" w:lineRule="auto"/>
        <w:ind w:left="0" w:right="300"/>
        <w:contextualSpacing/>
        <w:textAlignment w:val="baseline"/>
        <w:rPr>
          <w:rFonts w:ascii="Times New Roman" w:hAnsi="Times New Roman" w:cs="Times New Roman"/>
        </w:rPr>
      </w:pPr>
      <w:r w:rsidRPr="002D02DA">
        <w:rPr>
          <w:rFonts w:ascii="Times New Roman" w:hAnsi="Times New Roman" w:cs="Times New Roman"/>
          <w:bdr w:val="none" w:sz="0" w:space="0" w:color="auto" w:frame="1"/>
        </w:rPr>
        <w:t>Promovarea protecției iradierii ocupaționale în cadrul sistemelor de sănătate (</w:t>
      </w:r>
      <w:proofErr w:type="gramStart"/>
      <w:r w:rsidRPr="002D02DA">
        <w:rPr>
          <w:rFonts w:ascii="Times New Roman" w:hAnsi="Times New Roman" w:cs="Times New Roman"/>
          <w:bdr w:val="none" w:sz="0" w:space="0" w:color="auto" w:frame="1"/>
        </w:rPr>
        <w:t>medici</w:t>
      </w:r>
      <w:proofErr w:type="gramEnd"/>
      <w:r w:rsidRPr="002D02DA">
        <w:rPr>
          <w:rFonts w:ascii="Times New Roman" w:hAnsi="Times New Roman" w:cs="Times New Roman"/>
          <w:bdr w:val="none" w:sz="0" w:space="0" w:color="auto" w:frame="1"/>
        </w:rPr>
        <w:t>, tehnicieni, personal auxiliar).</w:t>
      </w:r>
    </w:p>
    <w:p w:rsidR="002E24C5" w:rsidRPr="002D02DA" w:rsidRDefault="002E24C5" w:rsidP="00EA3B77">
      <w:pPr>
        <w:numPr>
          <w:ilvl w:val="0"/>
          <w:numId w:val="4"/>
        </w:numPr>
        <w:shd w:val="clear" w:color="auto" w:fill="FFFFFF"/>
        <w:spacing w:after="0" w:line="240" w:lineRule="auto"/>
        <w:ind w:left="0" w:right="300"/>
        <w:contextualSpacing/>
        <w:textAlignment w:val="baseline"/>
        <w:rPr>
          <w:rFonts w:ascii="Times New Roman" w:hAnsi="Times New Roman" w:cs="Times New Roman"/>
        </w:rPr>
      </w:pPr>
      <w:r w:rsidRPr="002D02DA">
        <w:rPr>
          <w:rFonts w:ascii="Times New Roman" w:hAnsi="Times New Roman" w:cs="Times New Roman"/>
          <w:bdr w:val="none" w:sz="0" w:space="0" w:color="auto" w:frame="1"/>
        </w:rPr>
        <w:t xml:space="preserve">Prevenirea expunerilor accidentale și neintenționate, </w:t>
      </w:r>
      <w:proofErr w:type="gramStart"/>
      <w:r w:rsidRPr="002D02DA">
        <w:rPr>
          <w:rFonts w:ascii="Times New Roman" w:hAnsi="Times New Roman" w:cs="Times New Roman"/>
          <w:bdr w:val="none" w:sz="0" w:space="0" w:color="auto" w:frame="1"/>
        </w:rPr>
        <w:t>consolidarea  securită</w:t>
      </w:r>
      <w:proofErr w:type="gramEnd"/>
      <w:r w:rsidRPr="002D02DA">
        <w:rPr>
          <w:rFonts w:ascii="Times New Roman" w:hAnsi="Times New Roman" w:cs="Times New Roman"/>
          <w:bdr w:val="none" w:sz="0" w:space="0" w:color="auto" w:frame="1"/>
        </w:rPr>
        <w:t>ții radiațiilor și promovarea sistemelor de raportare și învățare.</w:t>
      </w:r>
    </w:p>
    <w:p w:rsidR="002E24C5" w:rsidRPr="002D02DA" w:rsidRDefault="002E24C5" w:rsidP="00EA3B77">
      <w:pPr>
        <w:numPr>
          <w:ilvl w:val="0"/>
          <w:numId w:val="4"/>
        </w:numPr>
        <w:shd w:val="clear" w:color="auto" w:fill="FFFFFF"/>
        <w:spacing w:after="0" w:line="240" w:lineRule="auto"/>
        <w:ind w:left="0" w:right="300"/>
        <w:contextualSpacing/>
        <w:textAlignment w:val="baseline"/>
        <w:rPr>
          <w:rFonts w:ascii="Times New Roman" w:hAnsi="Times New Roman" w:cs="Times New Roman"/>
        </w:rPr>
      </w:pPr>
      <w:r w:rsidRPr="002D02DA">
        <w:rPr>
          <w:rFonts w:ascii="Times New Roman" w:hAnsi="Times New Roman" w:cs="Times New Roman"/>
          <w:bdr w:val="none" w:sz="0" w:space="0" w:color="auto" w:frame="1"/>
        </w:rPr>
        <w:lastRenderedPageBreak/>
        <w:t>Promovarea cooperării între autoritățile sanitare și organismele de reglementare în domeniul protecției împotriva radiațiilor.</w:t>
      </w:r>
    </w:p>
    <w:p w:rsidR="002E24C5" w:rsidRPr="002D02DA" w:rsidRDefault="002E24C5" w:rsidP="00EA3B77">
      <w:pPr>
        <w:pStyle w:val="Heading4"/>
        <w:shd w:val="clear" w:color="auto" w:fill="FFFFFF"/>
        <w:spacing w:before="0" w:line="240" w:lineRule="auto"/>
        <w:ind w:right="300"/>
        <w:contextualSpacing/>
        <w:textAlignment w:val="baseline"/>
        <w:rPr>
          <w:rFonts w:ascii="Times New Roman" w:hAnsi="Times New Roman" w:cs="Times New Roman"/>
          <w:color w:val="auto"/>
        </w:rPr>
      </w:pPr>
      <w:r w:rsidRPr="002D02DA">
        <w:rPr>
          <w:rFonts w:ascii="Times New Roman" w:hAnsi="Times New Roman" w:cs="Times New Roman"/>
          <w:color w:val="auto"/>
          <w:bdr w:val="none" w:sz="0" w:space="0" w:color="auto" w:frame="1"/>
        </w:rPr>
        <w:t>3. Comunicarea privind riscurile</w:t>
      </w:r>
    </w:p>
    <w:p w:rsidR="002E24C5" w:rsidRPr="002D02DA" w:rsidRDefault="002E24C5" w:rsidP="00EA3B77">
      <w:pPr>
        <w:numPr>
          <w:ilvl w:val="0"/>
          <w:numId w:val="5"/>
        </w:numPr>
        <w:shd w:val="clear" w:color="auto" w:fill="FFFFFF"/>
        <w:spacing w:after="0" w:line="240" w:lineRule="auto"/>
        <w:ind w:left="0" w:right="300"/>
        <w:contextualSpacing/>
        <w:textAlignment w:val="baseline"/>
        <w:rPr>
          <w:rFonts w:ascii="Times New Roman" w:hAnsi="Times New Roman" w:cs="Times New Roman"/>
        </w:rPr>
      </w:pPr>
      <w:r w:rsidRPr="002D02DA">
        <w:rPr>
          <w:rFonts w:ascii="Times New Roman" w:hAnsi="Times New Roman" w:cs="Times New Roman"/>
          <w:bdr w:val="none" w:sz="0" w:space="0" w:color="auto" w:frame="1"/>
        </w:rPr>
        <w:t xml:space="preserve">Elaborarea unei strategii de comunicare și furnizarea de instrumente care </w:t>
      </w:r>
      <w:proofErr w:type="gramStart"/>
      <w:r w:rsidRPr="002D02DA">
        <w:rPr>
          <w:rFonts w:ascii="Times New Roman" w:hAnsi="Times New Roman" w:cs="Times New Roman"/>
          <w:bdr w:val="none" w:sz="0" w:space="0" w:color="auto" w:frame="1"/>
        </w:rPr>
        <w:t>să</w:t>
      </w:r>
      <w:proofErr w:type="gramEnd"/>
      <w:r w:rsidRPr="002D02DA">
        <w:rPr>
          <w:rFonts w:ascii="Times New Roman" w:hAnsi="Times New Roman" w:cs="Times New Roman"/>
          <w:bdr w:val="none" w:sz="0" w:space="0" w:color="auto" w:frame="1"/>
        </w:rPr>
        <w:t xml:space="preserve"> sprijine dialogul beneficiu-risc (pentru furnizorii de servicii medicale, pacienții și tehnicieni).</w:t>
      </w:r>
    </w:p>
    <w:p w:rsidR="008C3856" w:rsidRPr="002D02DA" w:rsidRDefault="008C3856" w:rsidP="008C3856">
      <w:pPr>
        <w:shd w:val="clear" w:color="auto" w:fill="FFFFFF"/>
        <w:spacing w:after="0" w:line="240" w:lineRule="auto"/>
        <w:ind w:right="300"/>
        <w:contextualSpacing/>
        <w:textAlignment w:val="baseline"/>
        <w:rPr>
          <w:rFonts w:ascii="Times New Roman" w:hAnsi="Times New Roman" w:cs="Times New Roman"/>
          <w:b/>
        </w:rPr>
      </w:pPr>
      <w:r w:rsidRPr="002D02DA">
        <w:rPr>
          <w:rFonts w:ascii="Times New Roman" w:hAnsi="Times New Roman" w:cs="Times New Roman"/>
          <w:b/>
          <w:bdr w:val="none" w:sz="0" w:space="0" w:color="auto" w:frame="1"/>
        </w:rPr>
        <w:t>Legislaţie</w:t>
      </w:r>
    </w:p>
    <w:p w:rsidR="008C3856" w:rsidRPr="00EA3B77" w:rsidRDefault="008C3856" w:rsidP="008C3856">
      <w:pPr>
        <w:spacing w:line="240" w:lineRule="auto"/>
        <w:contextualSpacing/>
        <w:jc w:val="both"/>
        <w:rPr>
          <w:rFonts w:ascii="Times New Roman" w:hAnsi="Times New Roman" w:cs="Times New Roman"/>
        </w:rPr>
      </w:pPr>
      <w:r w:rsidRPr="00EA3B77">
        <w:rPr>
          <w:rFonts w:ascii="Times New Roman" w:hAnsi="Times New Roman" w:cs="Times New Roman"/>
        </w:rPr>
        <w:t xml:space="preserve">Având în vedere faptul că expunerea la radiații în scopuri medicale depășește toate celelalte tipuri de expuneri din surse de radiații generate de </w:t>
      </w:r>
      <w:proofErr w:type="gramStart"/>
      <w:r w:rsidRPr="00EA3B77">
        <w:rPr>
          <w:rFonts w:ascii="Times New Roman" w:hAnsi="Times New Roman" w:cs="Times New Roman"/>
        </w:rPr>
        <w:t>om</w:t>
      </w:r>
      <w:proofErr w:type="gramEnd"/>
      <w:r w:rsidRPr="00EA3B77">
        <w:rPr>
          <w:rFonts w:ascii="Times New Roman" w:hAnsi="Times New Roman" w:cs="Times New Roman"/>
        </w:rPr>
        <w:t>, Comisia Europeană și asumat responsabilitatea stabilirii și adoptării unor standarde de siguranță</w:t>
      </w:r>
      <w:r w:rsidRPr="00EA3B77">
        <w:rPr>
          <w:rStyle w:val="FootnoteReference"/>
          <w:rFonts w:ascii="Times New Roman" w:hAnsi="Times New Roman" w:cs="Times New Roman"/>
        </w:rPr>
        <w:footnoteReference w:id="11"/>
      </w:r>
      <w:r w:rsidRPr="00EA3B77">
        <w:rPr>
          <w:rFonts w:ascii="Times New Roman" w:hAnsi="Times New Roman" w:cs="Times New Roman"/>
        </w:rPr>
        <w:t>. Astfel, în vederea asigurării cadrului legal necesar utilizării optime a radiațiilor ionizante în scopuri medicale, a fost adoptată în 5 decembrie 2013, la nivel european, Directiva 2013/59/EURATOM, ”de stabilire a normelor de securitate de bază privind protecția împotriva pericolelor prezentate de expunerea la radiațiile ionizante</w:t>
      </w:r>
      <w:r w:rsidRPr="00EA3B77">
        <w:rPr>
          <w:rStyle w:val="FootnoteReference"/>
          <w:rFonts w:ascii="Times New Roman" w:hAnsi="Times New Roman" w:cs="Times New Roman"/>
        </w:rPr>
        <w:footnoteReference w:id="12"/>
      </w:r>
      <w:r w:rsidRPr="00EA3B77">
        <w:rPr>
          <w:rFonts w:ascii="Times New Roman" w:hAnsi="Times New Roman" w:cs="Times New Roman"/>
        </w:rPr>
        <w:t>” (Prin intermediul căreia se abrogă Directiva 97/43 din 30 iunie 1997</w:t>
      </w:r>
      <w:r w:rsidRPr="00EA3B77">
        <w:rPr>
          <w:rStyle w:val="FootnoteReference"/>
          <w:rFonts w:ascii="Times New Roman" w:hAnsi="Times New Roman" w:cs="Times New Roman"/>
        </w:rPr>
        <w:footnoteReference w:id="13"/>
      </w:r>
      <w:r w:rsidRPr="00EA3B77">
        <w:rPr>
          <w:rFonts w:ascii="Times New Roman" w:hAnsi="Times New Roman" w:cs="Times New Roman"/>
        </w:rPr>
        <w:t xml:space="preserve">, privind protecția sănătății persoanelor împotriva pericolelor pe care le prezintă radiațiile ionizante rezultate din expunerea în scopuri medicale, ale cărei prevederi însă le preia, actualizează și completează). </w:t>
      </w:r>
      <w:proofErr w:type="gramStart"/>
      <w:r w:rsidRPr="00EA3B77">
        <w:rPr>
          <w:rFonts w:ascii="Times New Roman" w:hAnsi="Times New Roman" w:cs="Times New Roman"/>
        </w:rPr>
        <w:t>Această directivă a fost transpusă în România prin intermediul Legii nr.</w:t>
      </w:r>
      <w:proofErr w:type="gramEnd"/>
      <w:r w:rsidRPr="00EA3B77">
        <w:rPr>
          <w:rFonts w:ascii="Times New Roman" w:hAnsi="Times New Roman" w:cs="Times New Roman"/>
        </w:rPr>
        <w:t xml:space="preserve"> 63/2018, în vigoare de la 12 aprilie 2018</w:t>
      </w:r>
      <w:proofErr w:type="gramStart"/>
      <w:r w:rsidRPr="00EA3B77">
        <w:rPr>
          <w:rFonts w:ascii="Times New Roman" w:hAnsi="Times New Roman" w:cs="Times New Roman"/>
        </w:rPr>
        <w:t>, ”</w:t>
      </w:r>
      <w:proofErr w:type="gramEnd"/>
      <w:r w:rsidRPr="00EA3B77">
        <w:rPr>
          <w:rFonts w:ascii="Times New Roman" w:hAnsi="Times New Roman" w:cs="Times New Roman"/>
        </w:rPr>
        <w:t xml:space="preserve">pentru modificarea și completarea Legii nr. </w:t>
      </w:r>
      <w:proofErr w:type="gramStart"/>
      <w:r w:rsidRPr="00EA3B77">
        <w:rPr>
          <w:rFonts w:ascii="Times New Roman" w:hAnsi="Times New Roman" w:cs="Times New Roman"/>
        </w:rPr>
        <w:t>111/1996 privind desfășurarea în siguranță, reglementarea, autorizarea și controlul activităților nucleare.”</w:t>
      </w:r>
      <w:proofErr w:type="gramEnd"/>
      <w:r w:rsidRPr="00EA3B77">
        <w:rPr>
          <w:rFonts w:ascii="Times New Roman" w:hAnsi="Times New Roman" w:cs="Times New Roman"/>
        </w:rPr>
        <w:t xml:space="preserve"> Conform textului acestei legi Ministerul Sănătății: ”a) stabilește și revizuiește ori de câte ori este cazul nivelurile de referință în diagnostic; b) stabilește constrângeri de doză pentru expunerea persoanelor implicate în îngrijirea și susținerea pacienților și a voluntarilor care participă la cercetarea medicală sau biomedicală; c) elaborează și revizuiește ori de câte ori este necesar criteriile de prescriere pentru expunerile în scopuri medicale; d) stabilește procedurile pentru efectuarea auditurilor clinice și controlează implementarea acestora; e) verifică respectarea nivelurilor de referință în diagnostic și a criteriilor de prescriere pentru expunerile medicale și impune măsuri corective, după caz; f) organizează, în colaborare cu CNCAN și Ministerul Educației Naționale sistemul de instruire și perfecționare a profesioniștilor din sănătate care necesită competențe specifice în domeniul practicilor medicale cu radiații ionizante; g) participă la elaborarea și implementarea planului național de acțiune împotriva riscurilor prezentate de expunerile la radonul din locuințe, clădirile cu acces public și locurile de muncă, în limita ariei de competență; h) elaborează materiale de informare, educare și comunicare cu privire la riscurile pentru sănătate datorate expunerii la radon</w:t>
      </w:r>
      <w:r w:rsidRPr="00EA3B77">
        <w:rPr>
          <w:rStyle w:val="FootnoteReference"/>
          <w:rFonts w:ascii="Times New Roman" w:hAnsi="Times New Roman" w:cs="Times New Roman"/>
        </w:rPr>
        <w:footnoteReference w:id="14"/>
      </w:r>
      <w:r w:rsidRPr="00EA3B77">
        <w:rPr>
          <w:rFonts w:ascii="Times New Roman" w:hAnsi="Times New Roman" w:cs="Times New Roman"/>
        </w:rPr>
        <w:t xml:space="preserve">.” </w:t>
      </w:r>
      <w:proofErr w:type="gramStart"/>
      <w:r w:rsidRPr="00EA3B77">
        <w:rPr>
          <w:rFonts w:ascii="Times New Roman" w:hAnsi="Times New Roman" w:cs="Times New Roman"/>
        </w:rPr>
        <w:t>De asemenea, se introduc 3 principii pentru utilizare radiațiilor ionizante în scopuri medicale, respectiv principiul justificării, al limitării dozelor și al optimizării acestora.</w:t>
      </w:r>
      <w:proofErr w:type="gramEnd"/>
      <w:r w:rsidRPr="00EA3B77">
        <w:rPr>
          <w:rFonts w:ascii="Times New Roman" w:hAnsi="Times New Roman" w:cs="Times New Roman"/>
        </w:rPr>
        <w:t xml:space="preserve"> La momentul dezvoltării acestei analize de situație nu au putut fi identificate norme de implemntare a prevederilor acestei legi.  </w:t>
      </w:r>
    </w:p>
    <w:p w:rsidR="008C3856" w:rsidRDefault="008C3856" w:rsidP="008C3856">
      <w:pPr>
        <w:spacing w:line="240" w:lineRule="auto"/>
        <w:contextualSpacing/>
        <w:jc w:val="both"/>
        <w:rPr>
          <w:rFonts w:ascii="Times New Roman" w:hAnsi="Times New Roman" w:cs="Times New Roman"/>
        </w:rPr>
      </w:pPr>
      <w:r w:rsidRPr="00EA3B77">
        <w:rPr>
          <w:rFonts w:ascii="Times New Roman" w:hAnsi="Times New Roman" w:cs="Times New Roman"/>
        </w:rPr>
        <w:t>În ceea ce privește disponibilitatea ghidurilor naționale pentru utilizarea judicioasă a radiațiilor ionizante în scop medical în țările europene, este important de amintit raportul publicat în anul 2014 de Comisia Europeană</w:t>
      </w:r>
      <w:r w:rsidRPr="00EA3B77">
        <w:rPr>
          <w:rStyle w:val="FootnoteReference"/>
          <w:rFonts w:ascii="Times New Roman" w:hAnsi="Times New Roman" w:cs="Times New Roman"/>
        </w:rPr>
        <w:footnoteReference w:id="15"/>
      </w:r>
      <w:r w:rsidRPr="00EA3B77">
        <w:rPr>
          <w:rFonts w:ascii="Times New Roman" w:hAnsi="Times New Roman" w:cs="Times New Roman"/>
        </w:rPr>
        <w:t xml:space="preserve"> (bazat pe un studiu efectuat de Societatea Europeană de Radiologi, prin intermediul unui chestionar on-line adresat persoanelor interesate din domeniu – asociații profesionale, decidenți, urmat de un atelier de lucru la nivel european), ale cărui principale rezultate sunt următoarele: 1) respondenții din 21/30 țări participante cunoșteau necesitatea legală a existenței unor ghiduri la nivel național, această necesitate fiind confirmată ulterior aplicării chestionarului, în toate țările UE; 2) la momentul efectuării studiului, în 25/30 țări participante existau ghiduri adoptate sau în pregătire, pentru utilizarea judicioasă a radiațiilor ionizante în scop medical; 3) respondenții din 17 țări au raportat 24 de ghiduri, dintre care 10 dezvoltate la nivel național, 8 adoptate și modificate, 6 adoptate fără modificări. Trebuie speficat faptul că acest studiu </w:t>
      </w:r>
      <w:proofErr w:type="gramStart"/>
      <w:r w:rsidRPr="00EA3B77">
        <w:rPr>
          <w:rFonts w:ascii="Times New Roman" w:hAnsi="Times New Roman" w:cs="Times New Roman"/>
        </w:rPr>
        <w:t>a</w:t>
      </w:r>
      <w:proofErr w:type="gramEnd"/>
      <w:r w:rsidRPr="00EA3B77">
        <w:rPr>
          <w:rFonts w:ascii="Times New Roman" w:hAnsi="Times New Roman" w:cs="Times New Roman"/>
        </w:rPr>
        <w:t xml:space="preserve"> explorat existența unor ghiduri naționale consecutive și în concordanță cu Directiva 97/43, nu cu referire la Directiva 59/2013, în vigoare. </w:t>
      </w:r>
    </w:p>
    <w:p w:rsidR="008C3856" w:rsidRPr="00EA3B77" w:rsidRDefault="008C3856" w:rsidP="008C3856">
      <w:pPr>
        <w:spacing w:line="240" w:lineRule="auto"/>
        <w:contextualSpacing/>
        <w:jc w:val="both"/>
        <w:rPr>
          <w:rFonts w:ascii="Times New Roman" w:hAnsi="Times New Roman" w:cs="Times New Roman"/>
        </w:rPr>
      </w:pPr>
      <w:r w:rsidRPr="00EA3B77">
        <w:rPr>
          <w:rFonts w:ascii="Times New Roman" w:hAnsi="Times New Roman" w:cs="Times New Roman"/>
        </w:rPr>
        <w:lastRenderedPageBreak/>
        <w:t>Nu în ultimul rând, menționăm ca sursă de informare legislația din Marea Britanie cu privire la expunerea medicală la radiații ionizante, adoptată în 6 februarie 2018</w:t>
      </w:r>
      <w:r w:rsidRPr="00EA3B77">
        <w:rPr>
          <w:rStyle w:val="FootnoteReference"/>
          <w:rFonts w:ascii="Times New Roman" w:hAnsi="Times New Roman" w:cs="Times New Roman"/>
        </w:rPr>
        <w:footnoteReference w:id="16"/>
      </w:r>
      <w:r w:rsidRPr="00EA3B77">
        <w:rPr>
          <w:rFonts w:ascii="Times New Roman" w:hAnsi="Times New Roman" w:cs="Times New Roman"/>
        </w:rPr>
        <w:t xml:space="preserve">, care cuprinde informații și principii utile pentru orientarea în vederea actualizării cadrului legal și a normelor și ghidurilor la nivel național în ceea ce privește expunerea judicioasă sau optimă la radiații ionizante în scop medical.    </w:t>
      </w:r>
    </w:p>
    <w:p w:rsidR="008C3856" w:rsidRDefault="008C3856" w:rsidP="008C3856">
      <w:pPr>
        <w:spacing w:line="240" w:lineRule="auto"/>
        <w:contextualSpacing/>
        <w:jc w:val="both"/>
        <w:rPr>
          <w:rFonts w:ascii="Times New Roman" w:hAnsi="Times New Roman" w:cs="Times New Roman"/>
        </w:rPr>
      </w:pPr>
    </w:p>
    <w:p w:rsidR="00732339" w:rsidRDefault="00732339" w:rsidP="00EA3B77">
      <w:pPr>
        <w:spacing w:line="240" w:lineRule="auto"/>
        <w:contextualSpacing/>
        <w:rPr>
          <w:rFonts w:ascii="Times New Roman" w:hAnsi="Times New Roman" w:cs="Times New Roman"/>
          <w:b/>
        </w:rPr>
      </w:pPr>
    </w:p>
    <w:p w:rsidR="008C3856" w:rsidRDefault="00ED3FE2" w:rsidP="00EA3B77">
      <w:pPr>
        <w:spacing w:line="240" w:lineRule="auto"/>
        <w:contextualSpacing/>
        <w:rPr>
          <w:rFonts w:ascii="Times New Roman" w:hAnsi="Times New Roman" w:cs="Times New Roman"/>
          <w:b/>
          <w:lang w:val="ro-RO"/>
        </w:rPr>
      </w:pPr>
      <w:r w:rsidRPr="00C30B50">
        <w:rPr>
          <w:rFonts w:ascii="Times New Roman" w:hAnsi="Times New Roman" w:cs="Times New Roman"/>
          <w:b/>
          <w:lang w:val="ro-RO"/>
        </w:rPr>
        <w:t>g). Analiza grupurilor populaționale</w:t>
      </w:r>
    </w:p>
    <w:p w:rsidR="00ED3FE2" w:rsidRDefault="00ED3FE2" w:rsidP="00EA3B77">
      <w:pPr>
        <w:spacing w:line="240" w:lineRule="auto"/>
        <w:contextualSpacing/>
        <w:rPr>
          <w:rFonts w:ascii="Times New Roman" w:hAnsi="Times New Roman" w:cs="Times New Roman"/>
        </w:rPr>
      </w:pPr>
      <w:r w:rsidRPr="00ED3FE2">
        <w:rPr>
          <w:rFonts w:ascii="Times New Roman" w:hAnsi="Times New Roman" w:cs="Times New Roman"/>
        </w:rPr>
        <w:t>Grupuri țintă identificate pentru ca</w:t>
      </w:r>
      <w:r>
        <w:rPr>
          <w:rFonts w:ascii="Times New Roman" w:hAnsi="Times New Roman" w:cs="Times New Roman"/>
        </w:rPr>
        <w:t>mpanie: - Pacienți din populaţia generală/sportivi cu boli musculo-scheletale</w:t>
      </w:r>
      <w:r w:rsidRPr="00ED3FE2">
        <w:rPr>
          <w:rFonts w:ascii="Times New Roman" w:hAnsi="Times New Roman" w:cs="Times New Roman"/>
        </w:rPr>
        <w:t xml:space="preserve">, </w:t>
      </w:r>
    </w:p>
    <w:p w:rsidR="00ED3FE2" w:rsidRDefault="00ED3FE2" w:rsidP="00EA3B77">
      <w:pPr>
        <w:spacing w:line="240" w:lineRule="auto"/>
        <w:contextualSpacing/>
        <w:rPr>
          <w:rFonts w:ascii="Times New Roman" w:hAnsi="Times New Roman" w:cs="Times New Roman"/>
        </w:rPr>
      </w:pPr>
      <w:r>
        <w:rPr>
          <w:rFonts w:ascii="Times New Roman" w:hAnsi="Times New Roman" w:cs="Times New Roman"/>
        </w:rPr>
        <w:t xml:space="preserve">- </w:t>
      </w:r>
      <w:r w:rsidRPr="00ED3FE2">
        <w:rPr>
          <w:rFonts w:ascii="Times New Roman" w:hAnsi="Times New Roman" w:cs="Times New Roman"/>
        </w:rPr>
        <w:t xml:space="preserve"> Profesioniștii din sănătate: (</w:t>
      </w:r>
      <w:proofErr w:type="gramStart"/>
      <w:r w:rsidRPr="00ED3FE2">
        <w:rPr>
          <w:rFonts w:ascii="Times New Roman" w:hAnsi="Times New Roman" w:cs="Times New Roman"/>
        </w:rPr>
        <w:t>medici</w:t>
      </w:r>
      <w:proofErr w:type="gramEnd"/>
      <w:r>
        <w:rPr>
          <w:rFonts w:ascii="Times New Roman" w:hAnsi="Times New Roman" w:cs="Times New Roman"/>
        </w:rPr>
        <w:t xml:space="preserve"> radiologi/imagişti, tehnicieni de radiologie</w:t>
      </w:r>
      <w:r w:rsidRPr="00ED3FE2">
        <w:rPr>
          <w:rFonts w:ascii="Times New Roman" w:hAnsi="Times New Roman" w:cs="Times New Roman"/>
        </w:rPr>
        <w:t xml:space="preserve">). </w:t>
      </w:r>
    </w:p>
    <w:p w:rsidR="00ED3FE2" w:rsidRPr="007E3515" w:rsidRDefault="00ED3FE2" w:rsidP="00EA3B77">
      <w:pPr>
        <w:spacing w:line="240" w:lineRule="auto"/>
        <w:contextualSpacing/>
        <w:rPr>
          <w:rFonts w:ascii="Times New Roman" w:hAnsi="Times New Roman" w:cs="Times New Roman"/>
          <w:b/>
        </w:rPr>
      </w:pPr>
      <w:r w:rsidRPr="007E3515">
        <w:rPr>
          <w:rFonts w:ascii="Times New Roman" w:hAnsi="Times New Roman" w:cs="Times New Roman"/>
          <w:b/>
        </w:rPr>
        <w:t xml:space="preserve">Două grupuri țintă au fost selectate pentru campanie: </w:t>
      </w:r>
    </w:p>
    <w:p w:rsidR="007E3515" w:rsidRDefault="00ED3FE2" w:rsidP="007E3515">
      <w:pPr>
        <w:spacing w:line="240" w:lineRule="auto"/>
        <w:contextualSpacing/>
        <w:rPr>
          <w:rFonts w:ascii="Times New Roman" w:hAnsi="Times New Roman" w:cs="Times New Roman"/>
        </w:rPr>
      </w:pPr>
      <w:r w:rsidRPr="00ED3FE2">
        <w:rPr>
          <w:rFonts w:ascii="Times New Roman" w:hAnsi="Times New Roman" w:cs="Times New Roman"/>
        </w:rPr>
        <w:t>1. Pacienț</w:t>
      </w:r>
      <w:r w:rsidR="007E3515">
        <w:rPr>
          <w:rFonts w:ascii="Times New Roman" w:hAnsi="Times New Roman" w:cs="Times New Roman"/>
        </w:rPr>
        <w:t>ii</w:t>
      </w:r>
      <w:r w:rsidRPr="00ED3FE2">
        <w:rPr>
          <w:rFonts w:ascii="Times New Roman" w:hAnsi="Times New Roman" w:cs="Times New Roman"/>
        </w:rPr>
        <w:t xml:space="preserve"> </w:t>
      </w:r>
      <w:r w:rsidR="007E3515">
        <w:rPr>
          <w:rFonts w:ascii="Times New Roman" w:hAnsi="Times New Roman" w:cs="Times New Roman"/>
        </w:rPr>
        <w:t>din populaţia generală sau sportivi cu boli musculo-scheletale</w:t>
      </w:r>
      <w:r w:rsidR="007E3515" w:rsidRPr="00ED3FE2">
        <w:rPr>
          <w:rFonts w:ascii="Times New Roman" w:hAnsi="Times New Roman" w:cs="Times New Roman"/>
        </w:rPr>
        <w:t xml:space="preserve">, </w:t>
      </w:r>
    </w:p>
    <w:p w:rsidR="00ED3FE2" w:rsidRDefault="00ED3FE2" w:rsidP="00EA3B77">
      <w:pPr>
        <w:spacing w:line="240" w:lineRule="auto"/>
        <w:contextualSpacing/>
        <w:rPr>
          <w:rFonts w:ascii="Times New Roman" w:hAnsi="Times New Roman" w:cs="Times New Roman"/>
        </w:rPr>
      </w:pPr>
    </w:p>
    <w:p w:rsidR="00ED3FE2" w:rsidRPr="00ED3FE2" w:rsidRDefault="00ED3FE2" w:rsidP="00EA3B77">
      <w:pPr>
        <w:spacing w:line="240" w:lineRule="auto"/>
        <w:contextualSpacing/>
        <w:rPr>
          <w:rFonts w:ascii="Times New Roman" w:hAnsi="Times New Roman" w:cs="Times New Roman"/>
          <w:lang w:val="ro-RO"/>
        </w:rPr>
      </w:pPr>
      <w:r w:rsidRPr="00ED3FE2">
        <w:rPr>
          <w:rFonts w:ascii="Times New Roman" w:hAnsi="Times New Roman" w:cs="Times New Roman"/>
        </w:rPr>
        <w:t>2. Profesioniștii din sănătate</w:t>
      </w:r>
      <w:r w:rsidR="007E3515">
        <w:rPr>
          <w:rFonts w:ascii="Times New Roman" w:hAnsi="Times New Roman" w:cs="Times New Roman"/>
        </w:rPr>
        <w:t xml:space="preserve"> - </w:t>
      </w:r>
      <w:proofErr w:type="gramStart"/>
      <w:r w:rsidR="007E3515" w:rsidRPr="00ED3FE2">
        <w:rPr>
          <w:rFonts w:ascii="Times New Roman" w:hAnsi="Times New Roman" w:cs="Times New Roman"/>
        </w:rPr>
        <w:t>medici</w:t>
      </w:r>
      <w:proofErr w:type="gramEnd"/>
      <w:r w:rsidR="007E3515">
        <w:rPr>
          <w:rFonts w:ascii="Times New Roman" w:hAnsi="Times New Roman" w:cs="Times New Roman"/>
        </w:rPr>
        <w:t xml:space="preserve"> radiologi/imagişti, tehnicieni de radiologie</w:t>
      </w:r>
      <w:r w:rsidR="007E3515" w:rsidRPr="00ED3FE2">
        <w:rPr>
          <w:rFonts w:ascii="Times New Roman" w:hAnsi="Times New Roman" w:cs="Times New Roman"/>
        </w:rPr>
        <w:t>.</w:t>
      </w:r>
    </w:p>
    <w:p w:rsidR="007E3515" w:rsidRDefault="007E3515" w:rsidP="008915CF">
      <w:pPr>
        <w:spacing w:line="240" w:lineRule="auto"/>
        <w:contextualSpacing/>
        <w:jc w:val="both"/>
        <w:rPr>
          <w:rFonts w:ascii="Times New Roman" w:hAnsi="Times New Roman" w:cs="Times New Roman"/>
          <w:b/>
          <w:lang w:val="ro-RO"/>
        </w:rPr>
      </w:pPr>
    </w:p>
    <w:p w:rsidR="00FA4FD0" w:rsidRDefault="008915CF" w:rsidP="008915CF">
      <w:pPr>
        <w:spacing w:line="240" w:lineRule="auto"/>
        <w:contextualSpacing/>
        <w:jc w:val="both"/>
        <w:rPr>
          <w:rFonts w:ascii="Times New Roman" w:hAnsi="Times New Roman" w:cs="Times New Roman"/>
          <w:b/>
          <w:lang w:val="ro-RO"/>
        </w:rPr>
      </w:pPr>
      <w:r w:rsidRPr="00C30B50">
        <w:rPr>
          <w:rFonts w:ascii="Times New Roman" w:hAnsi="Times New Roman" w:cs="Times New Roman"/>
          <w:b/>
          <w:lang w:val="ro-RO"/>
        </w:rPr>
        <w:t>h). Campaniile IEC efectuate la nivel național în anii anterio</w:t>
      </w:r>
      <w:r w:rsidR="007E3515">
        <w:rPr>
          <w:rFonts w:ascii="Times New Roman" w:hAnsi="Times New Roman" w:cs="Times New Roman"/>
          <w:b/>
          <w:lang w:val="ro-RO"/>
        </w:rPr>
        <w:t>ri</w:t>
      </w:r>
    </w:p>
    <w:p w:rsidR="007E3515" w:rsidRPr="007E3515" w:rsidRDefault="007E3515" w:rsidP="008915CF">
      <w:pPr>
        <w:spacing w:line="240" w:lineRule="auto"/>
        <w:contextualSpacing/>
        <w:jc w:val="both"/>
        <w:rPr>
          <w:rFonts w:ascii="Times New Roman" w:hAnsi="Times New Roman" w:cs="Times New Roman"/>
          <w:b/>
          <w:lang w:val="ro-RO"/>
        </w:rPr>
      </w:pPr>
      <w:r>
        <w:rPr>
          <w:rFonts w:ascii="Times New Roman" w:hAnsi="Times New Roman" w:cs="Times New Roman"/>
          <w:lang w:val="ro-RO"/>
        </w:rPr>
        <w:t xml:space="preserve">În România, </w:t>
      </w:r>
      <w:r w:rsidRPr="00EA3B77">
        <w:rPr>
          <w:rFonts w:ascii="Times New Roman" w:hAnsi="Times New Roman" w:cs="Times New Roman"/>
        </w:rPr>
        <w:t>Ziua internaţională a radiologiei a fost cel</w:t>
      </w:r>
      <w:r>
        <w:rPr>
          <w:rFonts w:ascii="Times New Roman" w:hAnsi="Times New Roman" w:cs="Times New Roman"/>
        </w:rPr>
        <w:t xml:space="preserve">ebrată pentru prima dată în 2018: tema a fost </w:t>
      </w:r>
      <w:r w:rsidRPr="007E3515">
        <w:rPr>
          <w:rFonts w:ascii="Times New Roman" w:hAnsi="Times New Roman" w:cs="Times New Roman"/>
          <w:b/>
        </w:rPr>
        <w:t>Imagistica Inimii</w:t>
      </w:r>
      <w:r>
        <w:rPr>
          <w:rFonts w:ascii="Times New Roman" w:hAnsi="Times New Roman" w:cs="Times New Roman"/>
        </w:rPr>
        <w:t xml:space="preserve">, iar sloganul anului 2018 </w:t>
      </w:r>
      <w:r w:rsidRPr="007E3515">
        <w:rPr>
          <w:rFonts w:ascii="Times New Roman" w:hAnsi="Times New Roman" w:cs="Times New Roman"/>
          <w:b/>
        </w:rPr>
        <w:t>“Împreună pentru o inimă sănătoasă”</w:t>
      </w:r>
    </w:p>
    <w:p w:rsidR="00CE0945" w:rsidRPr="00EA3B77" w:rsidRDefault="002E24C5" w:rsidP="00EA3B77">
      <w:pPr>
        <w:spacing w:line="240" w:lineRule="auto"/>
        <w:contextualSpacing/>
        <w:jc w:val="both"/>
        <w:rPr>
          <w:rFonts w:ascii="Times New Roman" w:hAnsi="Times New Roman" w:cs="Times New Roman"/>
        </w:rPr>
      </w:pPr>
      <w:r w:rsidRPr="00EA3B77">
        <w:rPr>
          <w:rFonts w:ascii="Times New Roman" w:hAnsi="Times New Roman" w:cs="Times New Roman"/>
        </w:rPr>
        <w:t xml:space="preserve">Ziua internaţională a radiologiei a fost celebrată pentru prima dată în 2012 şi este continuatoarea Zilei europene a radiologiei, lansată în 2011 şi sărbătorită doar o singură dată, la 11 februarie </w:t>
      </w:r>
      <w:r w:rsidRPr="00EA3B77">
        <w:rPr>
          <w:rFonts w:ascii="Times New Roman" w:hAnsi="Times New Roman" w:cs="Times New Roman"/>
          <w:lang w:val="ro-RO"/>
        </w:rPr>
        <w:t xml:space="preserve">în </w:t>
      </w:r>
      <w:r w:rsidRPr="00EA3B77">
        <w:rPr>
          <w:rFonts w:ascii="Times New Roman" w:hAnsi="Times New Roman" w:cs="Times New Roman"/>
        </w:rPr>
        <w:t>acelaşi an, cu ocazia comemorării lui W.C.Röntgen. </w:t>
      </w:r>
    </w:p>
    <w:p w:rsidR="00FA4FD0" w:rsidRPr="00EA3B77" w:rsidRDefault="00FA4FD0" w:rsidP="00EA3B77">
      <w:pPr>
        <w:spacing w:line="240" w:lineRule="auto"/>
        <w:contextualSpacing/>
        <w:jc w:val="both"/>
        <w:rPr>
          <w:rFonts w:ascii="Times New Roman" w:hAnsi="Times New Roman" w:cs="Times New Roman"/>
        </w:rPr>
      </w:pPr>
      <w:proofErr w:type="gramStart"/>
      <w:r w:rsidRPr="00EA3B77">
        <w:rPr>
          <w:rFonts w:ascii="Times New Roman" w:hAnsi="Times New Roman" w:cs="Times New Roman"/>
        </w:rPr>
        <w:t>România celebrea</w:t>
      </w:r>
      <w:r w:rsidR="006D16BB" w:rsidRPr="00EA3B77">
        <w:rPr>
          <w:rFonts w:ascii="Times New Roman" w:hAnsi="Times New Roman" w:cs="Times New Roman"/>
        </w:rPr>
        <w:t>ză anul acesta pentru a doua oară</w:t>
      </w:r>
      <w:r w:rsidRPr="00EA3B77">
        <w:rPr>
          <w:rFonts w:ascii="Times New Roman" w:hAnsi="Times New Roman" w:cs="Times New Roman"/>
        </w:rPr>
        <w:t xml:space="preserve"> Ziua Internaţională a Radilogiei.</w:t>
      </w:r>
      <w:proofErr w:type="gramEnd"/>
    </w:p>
    <w:p w:rsidR="00CE0945" w:rsidRPr="00EA3B77" w:rsidRDefault="002E24C5" w:rsidP="00EA3B77">
      <w:pPr>
        <w:numPr>
          <w:ilvl w:val="0"/>
          <w:numId w:val="1"/>
        </w:numPr>
        <w:spacing w:line="240" w:lineRule="auto"/>
        <w:contextualSpacing/>
        <w:rPr>
          <w:rFonts w:ascii="Times New Roman" w:hAnsi="Times New Roman" w:cs="Times New Roman"/>
        </w:rPr>
      </w:pPr>
      <w:r w:rsidRPr="00EA3B77">
        <w:rPr>
          <w:rFonts w:ascii="Times New Roman" w:hAnsi="Times New Roman" w:cs="Times New Roman"/>
        </w:rPr>
        <w:t>Temele din anii anteriori au fost:</w:t>
      </w:r>
    </w:p>
    <w:p w:rsidR="00CE0945" w:rsidRPr="00EA3B77" w:rsidRDefault="002E24C5" w:rsidP="00EA3B77">
      <w:pPr>
        <w:numPr>
          <w:ilvl w:val="0"/>
          <w:numId w:val="2"/>
        </w:numPr>
        <w:spacing w:line="240" w:lineRule="auto"/>
        <w:contextualSpacing/>
        <w:rPr>
          <w:rFonts w:ascii="Times New Roman" w:hAnsi="Times New Roman" w:cs="Times New Roman"/>
        </w:rPr>
      </w:pPr>
      <w:r w:rsidRPr="00EA3B77">
        <w:rPr>
          <w:rFonts w:ascii="Times New Roman" w:hAnsi="Times New Roman" w:cs="Times New Roman"/>
          <w:lang w:val="ro-RO"/>
        </w:rPr>
        <w:t xml:space="preserve">       </w:t>
      </w:r>
      <w:r w:rsidRPr="00EA3B77">
        <w:rPr>
          <w:rFonts w:ascii="Times New Roman" w:hAnsi="Times New Roman" w:cs="Times New Roman"/>
        </w:rPr>
        <w:t>2012 – Imagistica oncologic</w:t>
      </w:r>
      <w:r w:rsidRPr="00EA3B77">
        <w:rPr>
          <w:rFonts w:ascii="Times New Roman" w:hAnsi="Times New Roman" w:cs="Times New Roman"/>
          <w:lang w:val="ro-RO"/>
        </w:rPr>
        <w:t>ă</w:t>
      </w:r>
    </w:p>
    <w:p w:rsidR="00CE0945" w:rsidRPr="00EA3B77" w:rsidRDefault="002E24C5" w:rsidP="00EA3B77">
      <w:pPr>
        <w:numPr>
          <w:ilvl w:val="0"/>
          <w:numId w:val="2"/>
        </w:numPr>
        <w:spacing w:line="240" w:lineRule="auto"/>
        <w:contextualSpacing/>
        <w:rPr>
          <w:rFonts w:ascii="Times New Roman" w:hAnsi="Times New Roman" w:cs="Times New Roman"/>
        </w:rPr>
      </w:pPr>
      <w:r w:rsidRPr="00EA3B77">
        <w:rPr>
          <w:rFonts w:ascii="Times New Roman" w:hAnsi="Times New Roman" w:cs="Times New Roman"/>
          <w:lang w:val="ro-RO"/>
        </w:rPr>
        <w:t xml:space="preserve">       2013 – Imagistica pulmonară</w:t>
      </w:r>
    </w:p>
    <w:p w:rsidR="00CE0945" w:rsidRPr="00EA3B77" w:rsidRDefault="002E24C5" w:rsidP="00EA3B77">
      <w:pPr>
        <w:numPr>
          <w:ilvl w:val="0"/>
          <w:numId w:val="2"/>
        </w:numPr>
        <w:spacing w:line="240" w:lineRule="auto"/>
        <w:contextualSpacing/>
        <w:rPr>
          <w:rFonts w:ascii="Times New Roman" w:hAnsi="Times New Roman" w:cs="Times New Roman"/>
        </w:rPr>
      </w:pPr>
      <w:r w:rsidRPr="00EA3B77">
        <w:rPr>
          <w:rFonts w:ascii="Times New Roman" w:hAnsi="Times New Roman" w:cs="Times New Roman"/>
          <w:lang w:val="ro-RO"/>
        </w:rPr>
        <w:t xml:space="preserve">       2014 – Imagistica creierului</w:t>
      </w:r>
    </w:p>
    <w:p w:rsidR="00CE0945" w:rsidRPr="00EA3B77" w:rsidRDefault="002E24C5" w:rsidP="00EA3B77">
      <w:pPr>
        <w:numPr>
          <w:ilvl w:val="0"/>
          <w:numId w:val="2"/>
        </w:numPr>
        <w:spacing w:line="240" w:lineRule="auto"/>
        <w:contextualSpacing/>
        <w:rPr>
          <w:rFonts w:ascii="Times New Roman" w:hAnsi="Times New Roman" w:cs="Times New Roman"/>
        </w:rPr>
      </w:pPr>
      <w:r w:rsidRPr="00EA3B77">
        <w:rPr>
          <w:rFonts w:ascii="Times New Roman" w:hAnsi="Times New Roman" w:cs="Times New Roman"/>
          <w:lang w:val="ro-RO"/>
        </w:rPr>
        <w:t xml:space="preserve">       2015 – Imagistica pediatrică</w:t>
      </w:r>
    </w:p>
    <w:p w:rsidR="00CE0945" w:rsidRPr="00EA3B77" w:rsidRDefault="002E24C5" w:rsidP="00EA3B77">
      <w:pPr>
        <w:numPr>
          <w:ilvl w:val="0"/>
          <w:numId w:val="2"/>
        </w:numPr>
        <w:spacing w:line="240" w:lineRule="auto"/>
        <w:contextualSpacing/>
        <w:rPr>
          <w:rFonts w:ascii="Times New Roman" w:hAnsi="Times New Roman" w:cs="Times New Roman"/>
        </w:rPr>
      </w:pPr>
      <w:r w:rsidRPr="00EA3B77">
        <w:rPr>
          <w:rFonts w:ascii="Times New Roman" w:hAnsi="Times New Roman" w:cs="Times New Roman"/>
          <w:lang w:val="ro-RO"/>
        </w:rPr>
        <w:t xml:space="preserve">       2016 – Imagistica în cancerul de sân</w:t>
      </w:r>
    </w:p>
    <w:p w:rsidR="00CE0945" w:rsidRPr="00EA3B77" w:rsidRDefault="002E24C5" w:rsidP="00EA3B77">
      <w:pPr>
        <w:numPr>
          <w:ilvl w:val="0"/>
          <w:numId w:val="2"/>
        </w:numPr>
        <w:spacing w:line="240" w:lineRule="auto"/>
        <w:contextualSpacing/>
        <w:rPr>
          <w:rFonts w:ascii="Times New Roman" w:hAnsi="Times New Roman" w:cs="Times New Roman"/>
        </w:rPr>
      </w:pPr>
      <w:r w:rsidRPr="00EA3B77">
        <w:rPr>
          <w:rFonts w:ascii="Times New Roman" w:hAnsi="Times New Roman" w:cs="Times New Roman"/>
          <w:lang w:val="ro-RO"/>
        </w:rPr>
        <w:t xml:space="preserve">       2017 –Imagistica de urgenţă</w:t>
      </w:r>
    </w:p>
    <w:p w:rsidR="006D16BB" w:rsidRPr="00ED3FE2" w:rsidRDefault="006D16BB" w:rsidP="00EA3B77">
      <w:pPr>
        <w:numPr>
          <w:ilvl w:val="0"/>
          <w:numId w:val="2"/>
        </w:numPr>
        <w:spacing w:line="240" w:lineRule="auto"/>
        <w:contextualSpacing/>
        <w:rPr>
          <w:rFonts w:ascii="Times New Roman" w:hAnsi="Times New Roman" w:cs="Times New Roman"/>
        </w:rPr>
      </w:pPr>
      <w:r w:rsidRPr="00EA3B77">
        <w:rPr>
          <w:rFonts w:ascii="Times New Roman" w:hAnsi="Times New Roman" w:cs="Times New Roman"/>
          <w:lang w:val="ro-RO"/>
        </w:rPr>
        <w:t xml:space="preserve">       2018- Imagistica inimii</w:t>
      </w:r>
    </w:p>
    <w:p w:rsidR="00ED3FE2" w:rsidRPr="00EA3B77" w:rsidRDefault="00ED3FE2" w:rsidP="00ED3FE2">
      <w:pPr>
        <w:spacing w:line="240" w:lineRule="auto"/>
        <w:contextualSpacing/>
        <w:rPr>
          <w:rFonts w:ascii="Times New Roman" w:hAnsi="Times New Roman" w:cs="Times New Roman"/>
        </w:rPr>
      </w:pPr>
    </w:p>
    <w:p w:rsidR="006B5809" w:rsidRPr="00EA3B77" w:rsidRDefault="006B5809" w:rsidP="00EA3B77">
      <w:pPr>
        <w:spacing w:line="240" w:lineRule="auto"/>
        <w:ind w:left="360"/>
        <w:contextualSpacing/>
        <w:rPr>
          <w:rFonts w:ascii="Times New Roman" w:hAnsi="Times New Roman" w:cs="Times New Roman"/>
        </w:rPr>
      </w:pPr>
      <w:r w:rsidRPr="00EA3B77">
        <w:rPr>
          <w:rFonts w:ascii="Times New Roman" w:hAnsi="Times New Roman" w:cs="Times New Roman"/>
          <w:lang w:val="ro-RO"/>
        </w:rPr>
        <w:t xml:space="preserve">În aceeaşi dată de 8 noiembrie se celebrează şi </w:t>
      </w:r>
      <w:r w:rsidRPr="00EA3B77">
        <w:rPr>
          <w:rFonts w:ascii="Times New Roman" w:hAnsi="Times New Roman" w:cs="Times New Roman"/>
          <w:b/>
          <w:bCs/>
          <w:lang w:val="ro-RO"/>
        </w:rPr>
        <w:t>Ziua Mondială a Radiografiei</w:t>
      </w:r>
      <w:r w:rsidRPr="00EA3B77">
        <w:rPr>
          <w:rFonts w:ascii="Times New Roman" w:hAnsi="Times New Roman" w:cs="Times New Roman"/>
          <w:lang w:val="ro-RO"/>
        </w:rPr>
        <w:t>, organizată de Societatea tehnicienilor de radiologie, cu scopul de a promova meseria de tehnician radiolog şi de a conştientiza rolul acestora în sistemul de sănătate modern.</w:t>
      </w:r>
      <w:r w:rsidRPr="00EA3B77">
        <w:rPr>
          <w:rFonts w:ascii="Times New Roman" w:hAnsi="Times New Roman" w:cs="Times New Roman"/>
          <w:b/>
          <w:bCs/>
          <w:lang w:val="ro-RO"/>
        </w:rPr>
        <w:t xml:space="preserve">  </w:t>
      </w:r>
      <w:r w:rsidRPr="00EA3B77">
        <w:rPr>
          <w:rFonts w:ascii="Times New Roman" w:hAnsi="Times New Roman" w:cs="Times New Roman"/>
          <w:bCs/>
          <w:lang w:val="ro-RO"/>
        </w:rPr>
        <w:t xml:space="preserve">Ziua Mondială a Radiografiei </w:t>
      </w:r>
      <w:r w:rsidRPr="00EA3B77">
        <w:rPr>
          <w:rFonts w:ascii="Times New Roman" w:hAnsi="Times New Roman" w:cs="Times New Roman"/>
          <w:lang w:val="ro-RO"/>
        </w:rPr>
        <w:t xml:space="preserve">se celebrează din anul 2007. </w:t>
      </w:r>
    </w:p>
    <w:p w:rsidR="006B5809" w:rsidRPr="00EA3B77" w:rsidRDefault="006B5809" w:rsidP="00EA3B77">
      <w:pPr>
        <w:spacing w:line="240" w:lineRule="auto"/>
        <w:ind w:left="360"/>
        <w:contextualSpacing/>
        <w:rPr>
          <w:rFonts w:ascii="Times New Roman" w:hAnsi="Times New Roman" w:cs="Times New Roman"/>
        </w:rPr>
      </w:pPr>
    </w:p>
    <w:p w:rsidR="006B5809" w:rsidRPr="00EA3B77" w:rsidRDefault="006B5809" w:rsidP="00EA3B77">
      <w:pPr>
        <w:spacing w:line="240" w:lineRule="auto"/>
        <w:ind w:left="360"/>
        <w:contextualSpacing/>
        <w:rPr>
          <w:rFonts w:ascii="Times New Roman" w:hAnsi="Times New Roman" w:cs="Times New Roman"/>
          <w:b/>
          <w:bCs/>
          <w:lang w:val="ro-RO"/>
        </w:rPr>
      </w:pPr>
    </w:p>
    <w:p w:rsidR="00FA4FD0" w:rsidRPr="00EA3B77" w:rsidRDefault="00FA4FD0" w:rsidP="00EA3B77">
      <w:pPr>
        <w:spacing w:line="240" w:lineRule="auto"/>
        <w:contextualSpacing/>
        <w:rPr>
          <w:rFonts w:ascii="Times New Roman" w:hAnsi="Times New Roman" w:cs="Times New Roman"/>
          <w:lang w:val="ro-RO"/>
        </w:rPr>
      </w:pPr>
    </w:p>
    <w:sectPr w:rsidR="00FA4FD0" w:rsidRPr="00EA3B77" w:rsidSect="003C7EC5">
      <w:pgSz w:w="11906" w:h="16838"/>
      <w:pgMar w:top="135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BCB" w:rsidRDefault="001F1BCB" w:rsidP="00FD1742">
      <w:pPr>
        <w:spacing w:after="0" w:line="240" w:lineRule="auto"/>
      </w:pPr>
      <w:r>
        <w:separator/>
      </w:r>
    </w:p>
  </w:endnote>
  <w:endnote w:type="continuationSeparator" w:id="0">
    <w:p w:rsidR="001F1BCB" w:rsidRDefault="001F1BCB" w:rsidP="00FD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BCB" w:rsidRDefault="001F1BCB" w:rsidP="00FD1742">
      <w:pPr>
        <w:spacing w:after="0" w:line="240" w:lineRule="auto"/>
      </w:pPr>
      <w:r>
        <w:separator/>
      </w:r>
    </w:p>
  </w:footnote>
  <w:footnote w:type="continuationSeparator" w:id="0">
    <w:p w:rsidR="001F1BCB" w:rsidRDefault="001F1BCB" w:rsidP="00FD1742">
      <w:pPr>
        <w:spacing w:after="0" w:line="240" w:lineRule="auto"/>
      </w:pPr>
      <w:r>
        <w:continuationSeparator/>
      </w:r>
    </w:p>
  </w:footnote>
  <w:footnote w:id="1">
    <w:p w:rsidR="00136F51" w:rsidRDefault="00136F51">
      <w:pPr>
        <w:pStyle w:val="FootnoteText"/>
      </w:pPr>
      <w:r>
        <w:rPr>
          <w:rStyle w:val="FootnoteReference"/>
        </w:rPr>
        <w:footnoteRef/>
      </w:r>
      <w:r>
        <w:t xml:space="preserve"> </w:t>
      </w:r>
      <w:hyperlink r:id="rId1" w:history="1">
        <w:r w:rsidRPr="00286678">
          <w:rPr>
            <w:rStyle w:val="Hyperlink"/>
          </w:rPr>
          <w:t>https://www.internationaldayofradiology.com/about-idor/</w:t>
        </w:r>
      </w:hyperlink>
      <w:r>
        <w:t xml:space="preserve"> </w:t>
      </w:r>
    </w:p>
  </w:footnote>
  <w:footnote w:id="2">
    <w:p w:rsidR="00136F51" w:rsidRDefault="00136F51">
      <w:pPr>
        <w:pStyle w:val="FootnoteText"/>
      </w:pPr>
      <w:r>
        <w:rPr>
          <w:rStyle w:val="FootnoteReference"/>
        </w:rPr>
        <w:footnoteRef/>
      </w:r>
      <w:r w:rsidRPr="00FD1742">
        <w:t xml:space="preserve"> </w:t>
      </w:r>
      <w:hyperlink r:id="rId2" w:history="1">
        <w:r w:rsidRPr="00286678">
          <w:rPr>
            <w:rStyle w:val="Hyperlink"/>
          </w:rPr>
          <w:t>http://www.who.int/news-room/feature-stories/detail/to-x-ray-or-not-to-x-ray</w:t>
        </w:r>
      </w:hyperlink>
      <w:r>
        <w:t xml:space="preserve"> </w:t>
      </w:r>
    </w:p>
  </w:footnote>
  <w:footnote w:id="3">
    <w:p w:rsidR="00136F51" w:rsidRDefault="00136F51">
      <w:pPr>
        <w:pStyle w:val="FootnoteText"/>
      </w:pPr>
      <w:r>
        <w:rPr>
          <w:rStyle w:val="FootnoteReference"/>
        </w:rPr>
        <w:footnoteRef/>
      </w:r>
      <w:r>
        <w:t xml:space="preserve"> </w:t>
      </w:r>
      <w:r w:rsidRPr="00FD1742">
        <w:t xml:space="preserve"> </w:t>
      </w:r>
      <w:hyperlink r:id="rId3" w:history="1">
        <w:r w:rsidRPr="00286678">
          <w:rPr>
            <w:rStyle w:val="Hyperlink"/>
          </w:rPr>
          <w:t>http://www.who.int/ionizing_radiation/medical_radiation_exposure/global-initiative/en/</w:t>
        </w:r>
      </w:hyperlink>
      <w:r>
        <w:t xml:space="preserve"> </w:t>
      </w:r>
    </w:p>
  </w:footnote>
  <w:footnote w:id="4">
    <w:p w:rsidR="00136F51" w:rsidRPr="00ED3A7D" w:rsidRDefault="00136F51">
      <w:pPr>
        <w:pStyle w:val="FootnoteText"/>
        <w:contextualSpacing/>
      </w:pPr>
      <w:r>
        <w:rPr>
          <w:rStyle w:val="FootnoteReference"/>
        </w:rPr>
        <w:footnoteRef/>
      </w:r>
      <w:r>
        <w:t xml:space="preserve"> </w:t>
      </w:r>
      <w:r w:rsidRPr="005A6727">
        <w:t xml:space="preserve"> </w:t>
      </w:r>
      <w:hyperlink r:id="rId4" w:history="1">
        <w:r w:rsidRPr="00286678">
          <w:rPr>
            <w:rStyle w:val="Hyperlink"/>
          </w:rPr>
          <w:t>http://www.who.int/ionizing_radiation/about/GI_TM_Report_2008_Dec.pdf?ua=1</w:t>
        </w:r>
      </w:hyperlink>
    </w:p>
  </w:footnote>
  <w:footnote w:id="5">
    <w:p w:rsidR="00136F51" w:rsidRPr="00ED3A7D" w:rsidRDefault="00136F51" w:rsidP="00ED3A7D">
      <w:pPr>
        <w:contextualSpacing/>
        <w:jc w:val="both"/>
        <w:rPr>
          <w:rFonts w:eastAsiaTheme="minorHAnsi"/>
          <w:color w:val="0000FF"/>
          <w:u w:val="single"/>
        </w:rPr>
      </w:pPr>
      <w:r>
        <w:rPr>
          <w:rStyle w:val="FootnoteReference"/>
        </w:rPr>
        <w:footnoteRef/>
      </w:r>
      <w:r>
        <w:t xml:space="preserve"> </w:t>
      </w:r>
      <w:hyperlink r:id="rId5" w:history="1">
        <w:r w:rsidRPr="00ED3A7D">
          <w:rPr>
            <w:rFonts w:eastAsiaTheme="minorHAnsi"/>
            <w:color w:val="0000FF"/>
            <w:u w:val="single"/>
          </w:rPr>
          <w:t>https://data.oecd.org/healthcare/computed-tomography-ct-exams.htm</w:t>
        </w:r>
      </w:hyperlink>
    </w:p>
    <w:p w:rsidR="00136F51" w:rsidRPr="00ED3A7D" w:rsidRDefault="00136F51">
      <w:pPr>
        <w:pStyle w:val="FootnoteText"/>
        <w:rPr>
          <w:lang w:val="ro-RO"/>
        </w:rPr>
      </w:pPr>
    </w:p>
  </w:footnote>
  <w:footnote w:id="6">
    <w:p w:rsidR="00136F51" w:rsidRPr="00ED3A7D" w:rsidRDefault="00136F51" w:rsidP="00ED3A7D">
      <w:pPr>
        <w:jc w:val="both"/>
        <w:rPr>
          <w:rFonts w:ascii="Times New Roman" w:eastAsiaTheme="minorHAnsi" w:hAnsi="Times New Roman" w:cs="Times New Roman"/>
          <w:sz w:val="24"/>
          <w:szCs w:val="24"/>
        </w:rPr>
      </w:pPr>
      <w:r>
        <w:rPr>
          <w:rStyle w:val="FootnoteReference"/>
        </w:rPr>
        <w:footnoteRef/>
      </w:r>
      <w:r>
        <w:t xml:space="preserve"> </w:t>
      </w:r>
      <w:hyperlink r:id="rId6" w:anchor="indicator-chart" w:history="1">
        <w:r w:rsidRPr="00ED3A7D">
          <w:rPr>
            <w:rFonts w:eastAsiaTheme="minorHAnsi"/>
            <w:color w:val="0000FF"/>
            <w:u w:val="single"/>
          </w:rPr>
          <w:t>https://data.oecd.org/healthcare/magnetic-resonance-imaging-mri-exams.htm#indicator-chart</w:t>
        </w:r>
      </w:hyperlink>
    </w:p>
    <w:p w:rsidR="00136F51" w:rsidRPr="00ED3A7D" w:rsidRDefault="00136F51">
      <w:pPr>
        <w:pStyle w:val="FootnoteText"/>
        <w:rPr>
          <w:lang w:val="ro-RO"/>
        </w:rPr>
      </w:pPr>
    </w:p>
  </w:footnote>
  <w:footnote w:id="7">
    <w:p w:rsidR="00136F51" w:rsidRPr="00136F51" w:rsidRDefault="00136F51">
      <w:pPr>
        <w:pStyle w:val="FootnoteText"/>
        <w:rPr>
          <w:b/>
          <w:lang w:val="ro-RO"/>
        </w:rPr>
      </w:pPr>
      <w:r>
        <w:rPr>
          <w:rStyle w:val="FootnoteReference"/>
        </w:rPr>
        <w:footnoteRef/>
      </w:r>
      <w:r>
        <w:t xml:space="preserve"> </w:t>
      </w:r>
      <w:hyperlink r:id="rId7" w:history="1">
        <w:r w:rsidRPr="00136F51">
          <w:rPr>
            <w:rStyle w:val="Hyperlink"/>
          </w:rPr>
          <w:t>https://www.ncbi.nlm.nih.gov/pmc/articles/PMC5046964/pdf/ijspt-11-708.pdf</w:t>
        </w:r>
      </w:hyperlink>
    </w:p>
  </w:footnote>
  <w:footnote w:id="8">
    <w:p w:rsidR="00136F51" w:rsidRPr="00857A66" w:rsidRDefault="00136F51" w:rsidP="00857A66">
      <w:pPr>
        <w:pStyle w:val="CommentText"/>
      </w:pPr>
      <w:r>
        <w:rPr>
          <w:rStyle w:val="FootnoteReference"/>
        </w:rPr>
        <w:footnoteRef/>
      </w:r>
      <w:r>
        <w:t xml:space="preserve"> </w:t>
      </w:r>
      <w:hyperlink r:id="rId8" w:history="1">
        <w:r w:rsidRPr="00E820EC">
          <w:rPr>
            <w:rStyle w:val="Hyperlink"/>
          </w:rPr>
          <w:t>http://neurologiepediatrica.ro/wp-content/uploads/2010/07/Ghid_examene_radiologice_imagistice.pdf</w:t>
        </w:r>
      </w:hyperlink>
      <w:r>
        <w:t xml:space="preserve"> </w:t>
      </w:r>
    </w:p>
  </w:footnote>
  <w:footnote w:id="9">
    <w:p w:rsidR="00136F51" w:rsidRPr="00857A66" w:rsidRDefault="00136F51">
      <w:pPr>
        <w:pStyle w:val="FootnoteText"/>
        <w:rPr>
          <w:lang w:val="ro-RO"/>
        </w:rPr>
      </w:pPr>
      <w:r>
        <w:rPr>
          <w:rStyle w:val="FootnoteReference"/>
        </w:rPr>
        <w:footnoteRef/>
      </w:r>
      <w:r>
        <w:t xml:space="preserve"> </w:t>
      </w:r>
      <w:hyperlink r:id="rId9" w:history="1">
        <w:r w:rsidRPr="00286678">
          <w:rPr>
            <w:rStyle w:val="Hyperlink"/>
          </w:rPr>
          <w:t>https://eu-csite-storage-prod.s3.amazonaws.com/www-cirse-org/files/files/Patient%20Awareness%20Brochures/Cirse_2011_IR_Romanian.pdf</w:t>
        </w:r>
      </w:hyperlink>
      <w:r>
        <w:t xml:space="preserve"> </w:t>
      </w:r>
    </w:p>
  </w:footnote>
  <w:footnote w:id="10">
    <w:p w:rsidR="00136F51" w:rsidRPr="00B77C40" w:rsidRDefault="00136F51" w:rsidP="00857A66">
      <w:pPr>
        <w:rPr>
          <w:rFonts w:ascii="Times New Roman" w:hAnsi="Times New Roman" w:cs="Times New Roman"/>
          <w:color w:val="548DD4" w:themeColor="text2" w:themeTint="99"/>
          <w:sz w:val="24"/>
          <w:szCs w:val="24"/>
        </w:rPr>
      </w:pPr>
      <w:r>
        <w:rPr>
          <w:rStyle w:val="FootnoteReference"/>
        </w:rPr>
        <w:footnoteRef/>
      </w:r>
      <w:r>
        <w:t xml:space="preserve"> </w:t>
      </w:r>
      <w:r w:rsidRPr="00B77C40">
        <w:rPr>
          <w:rFonts w:ascii="Times New Roman" w:hAnsi="Times New Roman" w:cs="Times New Roman"/>
          <w:color w:val="548DD4" w:themeColor="text2" w:themeTint="99"/>
          <w:sz w:val="24"/>
          <w:szCs w:val="24"/>
        </w:rPr>
        <w:t>-</w:t>
      </w:r>
      <w:r w:rsidRPr="00B77C40">
        <w:rPr>
          <w:color w:val="548DD4" w:themeColor="text2" w:themeTint="99"/>
        </w:rPr>
        <w:t xml:space="preserve"> </w:t>
      </w:r>
      <w:r w:rsidRPr="00B77C40">
        <w:rPr>
          <w:rFonts w:ascii="Times New Roman" w:hAnsi="Times New Roman" w:cs="Times New Roman"/>
          <w:color w:val="548DD4" w:themeColor="text2" w:themeTint="99"/>
          <w:sz w:val="24"/>
          <w:szCs w:val="24"/>
        </w:rPr>
        <w:t>http://www.who.int/ionizing_radiation/medical_radiation_exposure/global-initiative/en/</w:t>
      </w:r>
    </w:p>
    <w:p w:rsidR="00136F51" w:rsidRPr="00857A66" w:rsidRDefault="00136F51">
      <w:pPr>
        <w:pStyle w:val="FootnoteText"/>
        <w:rPr>
          <w:lang w:val="ro-RO"/>
        </w:rPr>
      </w:pPr>
    </w:p>
  </w:footnote>
  <w:footnote w:id="11">
    <w:p w:rsidR="00136F51" w:rsidRPr="00857A66" w:rsidRDefault="00136F51" w:rsidP="008C3856">
      <w:pPr>
        <w:pStyle w:val="FootnoteText"/>
        <w:rPr>
          <w:lang w:val="ro-RO"/>
        </w:rPr>
      </w:pPr>
      <w:r>
        <w:rPr>
          <w:rStyle w:val="FootnoteReference"/>
        </w:rPr>
        <w:footnoteRef/>
      </w:r>
      <w:r>
        <w:t xml:space="preserve"> </w:t>
      </w:r>
      <w:hyperlink r:id="rId10" w:history="1">
        <w:r w:rsidRPr="00286678">
          <w:rPr>
            <w:rStyle w:val="Hyperlink"/>
          </w:rPr>
          <w:t>https://ec.europa.eu/energy/en/topics/nuclear-energy/radiation-protection/radiation-medical-use</w:t>
        </w:r>
      </w:hyperlink>
      <w:r>
        <w:t xml:space="preserve"> </w:t>
      </w:r>
    </w:p>
  </w:footnote>
  <w:footnote w:id="12">
    <w:p w:rsidR="00136F51" w:rsidRPr="00857A66" w:rsidRDefault="00136F51" w:rsidP="008C3856">
      <w:pPr>
        <w:pStyle w:val="CommentText"/>
      </w:pPr>
      <w:r>
        <w:rPr>
          <w:rStyle w:val="FootnoteReference"/>
        </w:rPr>
        <w:footnoteRef/>
      </w:r>
      <w:r>
        <w:t xml:space="preserve"> </w:t>
      </w:r>
      <w:hyperlink r:id="rId11" w:history="1">
        <w:r w:rsidRPr="00E820EC">
          <w:rPr>
            <w:rStyle w:val="Hyperlink"/>
          </w:rPr>
          <w:t>http://www.cncan.ro/assets/Legislatie/Legislatie-comunitara/DIRECTIVA-2013-59-EURATOM-ro.pdf</w:t>
        </w:r>
      </w:hyperlink>
      <w:r>
        <w:t xml:space="preserve"> </w:t>
      </w:r>
    </w:p>
  </w:footnote>
  <w:footnote w:id="13">
    <w:p w:rsidR="00136F51" w:rsidRPr="00857A66" w:rsidRDefault="00136F51" w:rsidP="008C3856">
      <w:pPr>
        <w:pStyle w:val="FootnoteText"/>
        <w:rPr>
          <w:lang w:val="ro-RO"/>
        </w:rPr>
      </w:pPr>
      <w:r>
        <w:rPr>
          <w:rStyle w:val="FootnoteReference"/>
        </w:rPr>
        <w:footnoteRef/>
      </w:r>
      <w:r>
        <w:t xml:space="preserve"> </w:t>
      </w:r>
      <w:hyperlink r:id="rId12" w:history="1">
        <w:r w:rsidRPr="00286678">
          <w:rPr>
            <w:rStyle w:val="Hyperlink"/>
          </w:rPr>
          <w:t>https://eur-lex.europa.eu/legal-content/RO/TXT/HTML/?uri=CELEX:31997L0043&amp;from=RO</w:t>
        </w:r>
      </w:hyperlink>
      <w:r>
        <w:t xml:space="preserve"> </w:t>
      </w:r>
    </w:p>
  </w:footnote>
  <w:footnote w:id="14">
    <w:p w:rsidR="00136F51" w:rsidRDefault="00136F51" w:rsidP="008C3856">
      <w:pPr>
        <w:pStyle w:val="CommentText"/>
      </w:pPr>
      <w:r>
        <w:rPr>
          <w:rStyle w:val="FootnoteReference"/>
        </w:rPr>
        <w:footnoteRef/>
      </w:r>
      <w:r>
        <w:t xml:space="preserve"> </w:t>
      </w:r>
      <w:hyperlink r:id="rId13" w:history="1">
        <w:r w:rsidRPr="00E820EC">
          <w:rPr>
            <w:rStyle w:val="Hyperlink"/>
          </w:rPr>
          <w:t>https://lege5.ro/Gratuit/gi3tgmjzgiyq/legea-nr-63-2018-pentru-modificarea-si-completarea-legii-nr-111-1996-privind-desfasurarea-in-siguranta-reglementarea-autorizarea-si-controlul-activitatilor-nucleare</w:t>
        </w:r>
      </w:hyperlink>
      <w:r>
        <w:t xml:space="preserve"> </w:t>
      </w:r>
    </w:p>
    <w:p w:rsidR="00136F51" w:rsidRPr="00857A66" w:rsidRDefault="00136F51" w:rsidP="008C3856">
      <w:pPr>
        <w:pStyle w:val="FootnoteText"/>
        <w:rPr>
          <w:lang w:val="ro-RO"/>
        </w:rPr>
      </w:pPr>
    </w:p>
  </w:footnote>
  <w:footnote w:id="15">
    <w:p w:rsidR="00136F51" w:rsidRPr="00857A66" w:rsidRDefault="00136F51" w:rsidP="008C3856">
      <w:pPr>
        <w:pStyle w:val="CommentText"/>
      </w:pPr>
      <w:r>
        <w:rPr>
          <w:rStyle w:val="FootnoteReference"/>
        </w:rPr>
        <w:footnoteRef/>
      </w:r>
      <w:hyperlink r:id="rId14" w:history="1">
        <w:r w:rsidRPr="00E820EC">
          <w:rPr>
            <w:rStyle w:val="Hyperlink"/>
          </w:rPr>
          <w:t>https://ec.europa.eu/energy/sites/ener/files/documents/178.pdf</w:t>
        </w:r>
      </w:hyperlink>
      <w:r>
        <w:t xml:space="preserve"> </w:t>
      </w:r>
    </w:p>
  </w:footnote>
  <w:footnote w:id="16">
    <w:p w:rsidR="00136F51" w:rsidRDefault="00136F51" w:rsidP="008C3856">
      <w:pPr>
        <w:pStyle w:val="CommentText"/>
      </w:pPr>
      <w:r>
        <w:rPr>
          <w:rStyle w:val="FootnoteReference"/>
        </w:rPr>
        <w:footnoteRef/>
      </w:r>
      <w:r>
        <w:t xml:space="preserve"> </w:t>
      </w:r>
      <w:hyperlink r:id="rId15" w:history="1">
        <w:r w:rsidRPr="00E820EC">
          <w:rPr>
            <w:rStyle w:val="Hyperlink"/>
          </w:rPr>
          <w:t>http://www.legislation.gov.uk/uksi/2017/1322/pdfs/uksi_20171322_en.pdf</w:t>
        </w:r>
      </w:hyperlink>
      <w:r>
        <w:t xml:space="preserve"> </w:t>
      </w:r>
    </w:p>
    <w:p w:rsidR="00136F51" w:rsidRPr="00857A66" w:rsidRDefault="00136F51" w:rsidP="008C3856">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C4E50"/>
    <w:multiLevelType w:val="hybridMultilevel"/>
    <w:tmpl w:val="11622390"/>
    <w:lvl w:ilvl="0" w:tplc="A2E4940E">
      <w:start w:val="1"/>
      <w:numFmt w:val="bullet"/>
      <w:lvlText w:val="*"/>
      <w:lvlJc w:val="left"/>
      <w:pPr>
        <w:tabs>
          <w:tab w:val="num" w:pos="720"/>
        </w:tabs>
        <w:ind w:left="720" w:hanging="360"/>
      </w:pPr>
      <w:rPr>
        <w:rFonts w:ascii="Georgia" w:hAnsi="Georgia" w:hint="default"/>
      </w:rPr>
    </w:lvl>
    <w:lvl w:ilvl="1" w:tplc="7A36E40A" w:tentative="1">
      <w:start w:val="1"/>
      <w:numFmt w:val="bullet"/>
      <w:lvlText w:val="*"/>
      <w:lvlJc w:val="left"/>
      <w:pPr>
        <w:tabs>
          <w:tab w:val="num" w:pos="1440"/>
        </w:tabs>
        <w:ind w:left="1440" w:hanging="360"/>
      </w:pPr>
      <w:rPr>
        <w:rFonts w:ascii="Georgia" w:hAnsi="Georgia" w:hint="default"/>
      </w:rPr>
    </w:lvl>
    <w:lvl w:ilvl="2" w:tplc="100A99E0" w:tentative="1">
      <w:start w:val="1"/>
      <w:numFmt w:val="bullet"/>
      <w:lvlText w:val="*"/>
      <w:lvlJc w:val="left"/>
      <w:pPr>
        <w:tabs>
          <w:tab w:val="num" w:pos="2160"/>
        </w:tabs>
        <w:ind w:left="2160" w:hanging="360"/>
      </w:pPr>
      <w:rPr>
        <w:rFonts w:ascii="Georgia" w:hAnsi="Georgia" w:hint="default"/>
      </w:rPr>
    </w:lvl>
    <w:lvl w:ilvl="3" w:tplc="921E0ECC" w:tentative="1">
      <w:start w:val="1"/>
      <w:numFmt w:val="bullet"/>
      <w:lvlText w:val="*"/>
      <w:lvlJc w:val="left"/>
      <w:pPr>
        <w:tabs>
          <w:tab w:val="num" w:pos="2880"/>
        </w:tabs>
        <w:ind w:left="2880" w:hanging="360"/>
      </w:pPr>
      <w:rPr>
        <w:rFonts w:ascii="Georgia" w:hAnsi="Georgia" w:hint="default"/>
      </w:rPr>
    </w:lvl>
    <w:lvl w:ilvl="4" w:tplc="2B9C6064" w:tentative="1">
      <w:start w:val="1"/>
      <w:numFmt w:val="bullet"/>
      <w:lvlText w:val="*"/>
      <w:lvlJc w:val="left"/>
      <w:pPr>
        <w:tabs>
          <w:tab w:val="num" w:pos="3600"/>
        </w:tabs>
        <w:ind w:left="3600" w:hanging="360"/>
      </w:pPr>
      <w:rPr>
        <w:rFonts w:ascii="Georgia" w:hAnsi="Georgia" w:hint="default"/>
      </w:rPr>
    </w:lvl>
    <w:lvl w:ilvl="5" w:tplc="5324F068" w:tentative="1">
      <w:start w:val="1"/>
      <w:numFmt w:val="bullet"/>
      <w:lvlText w:val="*"/>
      <w:lvlJc w:val="left"/>
      <w:pPr>
        <w:tabs>
          <w:tab w:val="num" w:pos="4320"/>
        </w:tabs>
        <w:ind w:left="4320" w:hanging="360"/>
      </w:pPr>
      <w:rPr>
        <w:rFonts w:ascii="Georgia" w:hAnsi="Georgia" w:hint="default"/>
      </w:rPr>
    </w:lvl>
    <w:lvl w:ilvl="6" w:tplc="71287BF8" w:tentative="1">
      <w:start w:val="1"/>
      <w:numFmt w:val="bullet"/>
      <w:lvlText w:val="*"/>
      <w:lvlJc w:val="left"/>
      <w:pPr>
        <w:tabs>
          <w:tab w:val="num" w:pos="5040"/>
        </w:tabs>
        <w:ind w:left="5040" w:hanging="360"/>
      </w:pPr>
      <w:rPr>
        <w:rFonts w:ascii="Georgia" w:hAnsi="Georgia" w:hint="default"/>
      </w:rPr>
    </w:lvl>
    <w:lvl w:ilvl="7" w:tplc="364ECF4E" w:tentative="1">
      <w:start w:val="1"/>
      <w:numFmt w:val="bullet"/>
      <w:lvlText w:val="*"/>
      <w:lvlJc w:val="left"/>
      <w:pPr>
        <w:tabs>
          <w:tab w:val="num" w:pos="5760"/>
        </w:tabs>
        <w:ind w:left="5760" w:hanging="360"/>
      </w:pPr>
      <w:rPr>
        <w:rFonts w:ascii="Georgia" w:hAnsi="Georgia" w:hint="default"/>
      </w:rPr>
    </w:lvl>
    <w:lvl w:ilvl="8" w:tplc="8A4AB10A" w:tentative="1">
      <w:start w:val="1"/>
      <w:numFmt w:val="bullet"/>
      <w:lvlText w:val="*"/>
      <w:lvlJc w:val="left"/>
      <w:pPr>
        <w:tabs>
          <w:tab w:val="num" w:pos="6480"/>
        </w:tabs>
        <w:ind w:left="6480" w:hanging="360"/>
      </w:pPr>
      <w:rPr>
        <w:rFonts w:ascii="Georgia" w:hAnsi="Georgia" w:hint="default"/>
      </w:rPr>
    </w:lvl>
  </w:abstractNum>
  <w:abstractNum w:abstractNumId="1">
    <w:nsid w:val="2798301A"/>
    <w:multiLevelType w:val="multilevel"/>
    <w:tmpl w:val="44DC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12C93"/>
    <w:multiLevelType w:val="multilevel"/>
    <w:tmpl w:val="A3F2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7F4AE3"/>
    <w:multiLevelType w:val="hybridMultilevel"/>
    <w:tmpl w:val="665C30C0"/>
    <w:lvl w:ilvl="0" w:tplc="9D0437FC">
      <w:start w:val="1"/>
      <w:numFmt w:val="bullet"/>
      <w:lvlText w:val=""/>
      <w:lvlJc w:val="left"/>
      <w:pPr>
        <w:tabs>
          <w:tab w:val="num" w:pos="720"/>
        </w:tabs>
        <w:ind w:left="720" w:hanging="360"/>
      </w:pPr>
      <w:rPr>
        <w:rFonts w:ascii="Wingdings" w:hAnsi="Wingdings" w:hint="default"/>
      </w:rPr>
    </w:lvl>
    <w:lvl w:ilvl="1" w:tplc="26B66D08" w:tentative="1">
      <w:start w:val="1"/>
      <w:numFmt w:val="bullet"/>
      <w:lvlText w:val=""/>
      <w:lvlJc w:val="left"/>
      <w:pPr>
        <w:tabs>
          <w:tab w:val="num" w:pos="1440"/>
        </w:tabs>
        <w:ind w:left="1440" w:hanging="360"/>
      </w:pPr>
      <w:rPr>
        <w:rFonts w:ascii="Wingdings" w:hAnsi="Wingdings" w:hint="default"/>
      </w:rPr>
    </w:lvl>
    <w:lvl w:ilvl="2" w:tplc="63F2C748" w:tentative="1">
      <w:start w:val="1"/>
      <w:numFmt w:val="bullet"/>
      <w:lvlText w:val=""/>
      <w:lvlJc w:val="left"/>
      <w:pPr>
        <w:tabs>
          <w:tab w:val="num" w:pos="2160"/>
        </w:tabs>
        <w:ind w:left="2160" w:hanging="360"/>
      </w:pPr>
      <w:rPr>
        <w:rFonts w:ascii="Wingdings" w:hAnsi="Wingdings" w:hint="default"/>
      </w:rPr>
    </w:lvl>
    <w:lvl w:ilvl="3" w:tplc="95AA1D7A" w:tentative="1">
      <w:start w:val="1"/>
      <w:numFmt w:val="bullet"/>
      <w:lvlText w:val=""/>
      <w:lvlJc w:val="left"/>
      <w:pPr>
        <w:tabs>
          <w:tab w:val="num" w:pos="2880"/>
        </w:tabs>
        <w:ind w:left="2880" w:hanging="360"/>
      </w:pPr>
      <w:rPr>
        <w:rFonts w:ascii="Wingdings" w:hAnsi="Wingdings" w:hint="default"/>
      </w:rPr>
    </w:lvl>
    <w:lvl w:ilvl="4" w:tplc="3820A128" w:tentative="1">
      <w:start w:val="1"/>
      <w:numFmt w:val="bullet"/>
      <w:lvlText w:val=""/>
      <w:lvlJc w:val="left"/>
      <w:pPr>
        <w:tabs>
          <w:tab w:val="num" w:pos="3600"/>
        </w:tabs>
        <w:ind w:left="3600" w:hanging="360"/>
      </w:pPr>
      <w:rPr>
        <w:rFonts w:ascii="Wingdings" w:hAnsi="Wingdings" w:hint="default"/>
      </w:rPr>
    </w:lvl>
    <w:lvl w:ilvl="5" w:tplc="005C04A4" w:tentative="1">
      <w:start w:val="1"/>
      <w:numFmt w:val="bullet"/>
      <w:lvlText w:val=""/>
      <w:lvlJc w:val="left"/>
      <w:pPr>
        <w:tabs>
          <w:tab w:val="num" w:pos="4320"/>
        </w:tabs>
        <w:ind w:left="4320" w:hanging="360"/>
      </w:pPr>
      <w:rPr>
        <w:rFonts w:ascii="Wingdings" w:hAnsi="Wingdings" w:hint="default"/>
      </w:rPr>
    </w:lvl>
    <w:lvl w:ilvl="6" w:tplc="523C1A8E" w:tentative="1">
      <w:start w:val="1"/>
      <w:numFmt w:val="bullet"/>
      <w:lvlText w:val=""/>
      <w:lvlJc w:val="left"/>
      <w:pPr>
        <w:tabs>
          <w:tab w:val="num" w:pos="5040"/>
        </w:tabs>
        <w:ind w:left="5040" w:hanging="360"/>
      </w:pPr>
      <w:rPr>
        <w:rFonts w:ascii="Wingdings" w:hAnsi="Wingdings" w:hint="default"/>
      </w:rPr>
    </w:lvl>
    <w:lvl w:ilvl="7" w:tplc="07243464" w:tentative="1">
      <w:start w:val="1"/>
      <w:numFmt w:val="bullet"/>
      <w:lvlText w:val=""/>
      <w:lvlJc w:val="left"/>
      <w:pPr>
        <w:tabs>
          <w:tab w:val="num" w:pos="5760"/>
        </w:tabs>
        <w:ind w:left="5760" w:hanging="360"/>
      </w:pPr>
      <w:rPr>
        <w:rFonts w:ascii="Wingdings" w:hAnsi="Wingdings" w:hint="default"/>
      </w:rPr>
    </w:lvl>
    <w:lvl w:ilvl="8" w:tplc="2CE2503E" w:tentative="1">
      <w:start w:val="1"/>
      <w:numFmt w:val="bullet"/>
      <w:lvlText w:val=""/>
      <w:lvlJc w:val="left"/>
      <w:pPr>
        <w:tabs>
          <w:tab w:val="num" w:pos="6480"/>
        </w:tabs>
        <w:ind w:left="6480" w:hanging="360"/>
      </w:pPr>
      <w:rPr>
        <w:rFonts w:ascii="Wingdings" w:hAnsi="Wingdings" w:hint="default"/>
      </w:rPr>
    </w:lvl>
  </w:abstractNum>
  <w:abstractNum w:abstractNumId="4">
    <w:nsid w:val="6C8D2459"/>
    <w:multiLevelType w:val="multilevel"/>
    <w:tmpl w:val="2758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B4"/>
    <w:rsid w:val="000015C1"/>
    <w:rsid w:val="000173A1"/>
    <w:rsid w:val="000A2432"/>
    <w:rsid w:val="00126CF0"/>
    <w:rsid w:val="00136F51"/>
    <w:rsid w:val="00174491"/>
    <w:rsid w:val="001D1F4B"/>
    <w:rsid w:val="001E5FB1"/>
    <w:rsid w:val="001F1BCB"/>
    <w:rsid w:val="002130FF"/>
    <w:rsid w:val="002224FD"/>
    <w:rsid w:val="002418D8"/>
    <w:rsid w:val="002476AE"/>
    <w:rsid w:val="002D02DA"/>
    <w:rsid w:val="002D558B"/>
    <w:rsid w:val="002E24C5"/>
    <w:rsid w:val="002F1FBF"/>
    <w:rsid w:val="0036630D"/>
    <w:rsid w:val="00377B4E"/>
    <w:rsid w:val="003C7EC5"/>
    <w:rsid w:val="003F35F2"/>
    <w:rsid w:val="00421ABA"/>
    <w:rsid w:val="0044428A"/>
    <w:rsid w:val="00497396"/>
    <w:rsid w:val="00531B8C"/>
    <w:rsid w:val="005676C3"/>
    <w:rsid w:val="005A6727"/>
    <w:rsid w:val="00615C96"/>
    <w:rsid w:val="00617572"/>
    <w:rsid w:val="00697371"/>
    <w:rsid w:val="006B5809"/>
    <w:rsid w:val="006D16BB"/>
    <w:rsid w:val="006F441C"/>
    <w:rsid w:val="00704789"/>
    <w:rsid w:val="00732339"/>
    <w:rsid w:val="0077355F"/>
    <w:rsid w:val="007747A6"/>
    <w:rsid w:val="007C0BF8"/>
    <w:rsid w:val="007E3515"/>
    <w:rsid w:val="007E50E2"/>
    <w:rsid w:val="00800D17"/>
    <w:rsid w:val="00827610"/>
    <w:rsid w:val="00844177"/>
    <w:rsid w:val="00857A66"/>
    <w:rsid w:val="008629B4"/>
    <w:rsid w:val="00877DFC"/>
    <w:rsid w:val="008915CF"/>
    <w:rsid w:val="008A5E51"/>
    <w:rsid w:val="008C3856"/>
    <w:rsid w:val="008C3912"/>
    <w:rsid w:val="009239CA"/>
    <w:rsid w:val="00946BE8"/>
    <w:rsid w:val="00972D0A"/>
    <w:rsid w:val="00975C98"/>
    <w:rsid w:val="009E04A6"/>
    <w:rsid w:val="00A02A1D"/>
    <w:rsid w:val="00A72040"/>
    <w:rsid w:val="00A84EF2"/>
    <w:rsid w:val="00AA1C71"/>
    <w:rsid w:val="00AF758E"/>
    <w:rsid w:val="00B037A1"/>
    <w:rsid w:val="00B26C07"/>
    <w:rsid w:val="00C30B50"/>
    <w:rsid w:val="00C9260E"/>
    <w:rsid w:val="00CE0945"/>
    <w:rsid w:val="00D14B31"/>
    <w:rsid w:val="00D16F82"/>
    <w:rsid w:val="00D47124"/>
    <w:rsid w:val="00D77C38"/>
    <w:rsid w:val="00DB0E35"/>
    <w:rsid w:val="00DE5C67"/>
    <w:rsid w:val="00DF152E"/>
    <w:rsid w:val="00E50EE1"/>
    <w:rsid w:val="00E668B9"/>
    <w:rsid w:val="00E77C0B"/>
    <w:rsid w:val="00EA3B77"/>
    <w:rsid w:val="00ED3A7D"/>
    <w:rsid w:val="00ED3FE2"/>
    <w:rsid w:val="00F61295"/>
    <w:rsid w:val="00F7578F"/>
    <w:rsid w:val="00F85072"/>
    <w:rsid w:val="00F85FB4"/>
    <w:rsid w:val="00FA3062"/>
    <w:rsid w:val="00FA4B77"/>
    <w:rsid w:val="00FA4FD0"/>
    <w:rsid w:val="00FB3B51"/>
    <w:rsid w:val="00FD1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789"/>
    <w:rPr>
      <w:rFonts w:eastAsiaTheme="minorEastAsia"/>
    </w:rPr>
  </w:style>
  <w:style w:type="paragraph" w:styleId="Heading1">
    <w:name w:val="heading 1"/>
    <w:basedOn w:val="Normal"/>
    <w:next w:val="Normal"/>
    <w:link w:val="Heading1Char"/>
    <w:uiPriority w:val="9"/>
    <w:qFormat/>
    <w:rsid w:val="002E24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D3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2E2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C71"/>
    <w:rPr>
      <w:color w:val="0000FF" w:themeColor="hyperlink"/>
      <w:u w:val="single"/>
    </w:rPr>
  </w:style>
  <w:style w:type="paragraph" w:styleId="BalloonText">
    <w:name w:val="Balloon Text"/>
    <w:basedOn w:val="Normal"/>
    <w:link w:val="BalloonTextChar"/>
    <w:uiPriority w:val="99"/>
    <w:semiHidden/>
    <w:unhideWhenUsed/>
    <w:rsid w:val="00377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B4E"/>
    <w:rPr>
      <w:rFonts w:ascii="Tahoma" w:eastAsiaTheme="minorEastAsia" w:hAnsi="Tahoma" w:cs="Tahoma"/>
      <w:sz w:val="16"/>
      <w:szCs w:val="16"/>
    </w:rPr>
  </w:style>
  <w:style w:type="paragraph" w:customStyle="1" w:styleId="Default">
    <w:name w:val="Default"/>
    <w:rsid w:val="007747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E24C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2E24C5"/>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2E24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5C96"/>
    <w:rPr>
      <w:i/>
      <w:iCs/>
    </w:rPr>
  </w:style>
  <w:style w:type="paragraph" w:styleId="ListParagraph">
    <w:name w:val="List Paragraph"/>
    <w:basedOn w:val="Normal"/>
    <w:uiPriority w:val="34"/>
    <w:qFormat/>
    <w:rsid w:val="006B5809"/>
    <w:pPr>
      <w:ind w:left="720"/>
      <w:contextualSpacing/>
    </w:pPr>
  </w:style>
  <w:style w:type="character" w:styleId="CommentReference">
    <w:name w:val="annotation reference"/>
    <w:basedOn w:val="DefaultParagraphFont"/>
    <w:uiPriority w:val="99"/>
    <w:semiHidden/>
    <w:unhideWhenUsed/>
    <w:rsid w:val="007C0BF8"/>
    <w:rPr>
      <w:sz w:val="16"/>
      <w:szCs w:val="16"/>
    </w:rPr>
  </w:style>
  <w:style w:type="paragraph" w:styleId="CommentText">
    <w:name w:val="annotation text"/>
    <w:basedOn w:val="Normal"/>
    <w:link w:val="CommentTextChar"/>
    <w:uiPriority w:val="99"/>
    <w:unhideWhenUsed/>
    <w:rsid w:val="007C0BF8"/>
    <w:pPr>
      <w:spacing w:line="240" w:lineRule="auto"/>
    </w:pPr>
    <w:rPr>
      <w:sz w:val="20"/>
      <w:szCs w:val="20"/>
    </w:rPr>
  </w:style>
  <w:style w:type="character" w:customStyle="1" w:styleId="CommentTextChar">
    <w:name w:val="Comment Text Char"/>
    <w:basedOn w:val="DefaultParagraphFont"/>
    <w:link w:val="CommentText"/>
    <w:uiPriority w:val="99"/>
    <w:rsid w:val="007C0BF8"/>
    <w:rPr>
      <w:rFonts w:eastAsiaTheme="minorEastAsia"/>
      <w:sz w:val="20"/>
      <w:szCs w:val="20"/>
    </w:rPr>
  </w:style>
  <w:style w:type="paragraph" w:styleId="FootnoteText">
    <w:name w:val="footnote text"/>
    <w:basedOn w:val="Normal"/>
    <w:link w:val="FootnoteTextChar"/>
    <w:uiPriority w:val="99"/>
    <w:semiHidden/>
    <w:unhideWhenUsed/>
    <w:rsid w:val="00FD17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1742"/>
    <w:rPr>
      <w:rFonts w:eastAsiaTheme="minorEastAsia"/>
      <w:sz w:val="20"/>
      <w:szCs w:val="20"/>
    </w:rPr>
  </w:style>
  <w:style w:type="character" w:styleId="FootnoteReference">
    <w:name w:val="footnote reference"/>
    <w:basedOn w:val="DefaultParagraphFont"/>
    <w:uiPriority w:val="99"/>
    <w:semiHidden/>
    <w:unhideWhenUsed/>
    <w:rsid w:val="00FD1742"/>
    <w:rPr>
      <w:vertAlign w:val="superscript"/>
    </w:rPr>
  </w:style>
  <w:style w:type="character" w:customStyle="1" w:styleId="Heading2Char">
    <w:name w:val="Heading 2 Char"/>
    <w:basedOn w:val="DefaultParagraphFont"/>
    <w:link w:val="Heading2"/>
    <w:uiPriority w:val="9"/>
    <w:rsid w:val="00ED3A7D"/>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ED3A7D"/>
  </w:style>
  <w:style w:type="character" w:styleId="Strong">
    <w:name w:val="Strong"/>
    <w:basedOn w:val="DefaultParagraphFont"/>
    <w:uiPriority w:val="22"/>
    <w:qFormat/>
    <w:rsid w:val="00ED3A7D"/>
    <w:rPr>
      <w:b/>
      <w:bCs/>
    </w:rPr>
  </w:style>
  <w:style w:type="table" w:styleId="TableGrid">
    <w:name w:val="Table Grid"/>
    <w:basedOn w:val="TableNormal"/>
    <w:uiPriority w:val="59"/>
    <w:rsid w:val="00ED3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789"/>
    <w:rPr>
      <w:rFonts w:eastAsiaTheme="minorEastAsia"/>
    </w:rPr>
  </w:style>
  <w:style w:type="paragraph" w:styleId="Heading1">
    <w:name w:val="heading 1"/>
    <w:basedOn w:val="Normal"/>
    <w:next w:val="Normal"/>
    <w:link w:val="Heading1Char"/>
    <w:uiPriority w:val="9"/>
    <w:qFormat/>
    <w:rsid w:val="002E24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D3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2E2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C71"/>
    <w:rPr>
      <w:color w:val="0000FF" w:themeColor="hyperlink"/>
      <w:u w:val="single"/>
    </w:rPr>
  </w:style>
  <w:style w:type="paragraph" w:styleId="BalloonText">
    <w:name w:val="Balloon Text"/>
    <w:basedOn w:val="Normal"/>
    <w:link w:val="BalloonTextChar"/>
    <w:uiPriority w:val="99"/>
    <w:semiHidden/>
    <w:unhideWhenUsed/>
    <w:rsid w:val="00377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B4E"/>
    <w:rPr>
      <w:rFonts w:ascii="Tahoma" w:eastAsiaTheme="minorEastAsia" w:hAnsi="Tahoma" w:cs="Tahoma"/>
      <w:sz w:val="16"/>
      <w:szCs w:val="16"/>
    </w:rPr>
  </w:style>
  <w:style w:type="paragraph" w:customStyle="1" w:styleId="Default">
    <w:name w:val="Default"/>
    <w:rsid w:val="007747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E24C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2E24C5"/>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2E24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5C96"/>
    <w:rPr>
      <w:i/>
      <w:iCs/>
    </w:rPr>
  </w:style>
  <w:style w:type="paragraph" w:styleId="ListParagraph">
    <w:name w:val="List Paragraph"/>
    <w:basedOn w:val="Normal"/>
    <w:uiPriority w:val="34"/>
    <w:qFormat/>
    <w:rsid w:val="006B5809"/>
    <w:pPr>
      <w:ind w:left="720"/>
      <w:contextualSpacing/>
    </w:pPr>
  </w:style>
  <w:style w:type="character" w:styleId="CommentReference">
    <w:name w:val="annotation reference"/>
    <w:basedOn w:val="DefaultParagraphFont"/>
    <w:uiPriority w:val="99"/>
    <w:semiHidden/>
    <w:unhideWhenUsed/>
    <w:rsid w:val="007C0BF8"/>
    <w:rPr>
      <w:sz w:val="16"/>
      <w:szCs w:val="16"/>
    </w:rPr>
  </w:style>
  <w:style w:type="paragraph" w:styleId="CommentText">
    <w:name w:val="annotation text"/>
    <w:basedOn w:val="Normal"/>
    <w:link w:val="CommentTextChar"/>
    <w:uiPriority w:val="99"/>
    <w:unhideWhenUsed/>
    <w:rsid w:val="007C0BF8"/>
    <w:pPr>
      <w:spacing w:line="240" w:lineRule="auto"/>
    </w:pPr>
    <w:rPr>
      <w:sz w:val="20"/>
      <w:szCs w:val="20"/>
    </w:rPr>
  </w:style>
  <w:style w:type="character" w:customStyle="1" w:styleId="CommentTextChar">
    <w:name w:val="Comment Text Char"/>
    <w:basedOn w:val="DefaultParagraphFont"/>
    <w:link w:val="CommentText"/>
    <w:uiPriority w:val="99"/>
    <w:rsid w:val="007C0BF8"/>
    <w:rPr>
      <w:rFonts w:eastAsiaTheme="minorEastAsia"/>
      <w:sz w:val="20"/>
      <w:szCs w:val="20"/>
    </w:rPr>
  </w:style>
  <w:style w:type="paragraph" w:styleId="FootnoteText">
    <w:name w:val="footnote text"/>
    <w:basedOn w:val="Normal"/>
    <w:link w:val="FootnoteTextChar"/>
    <w:uiPriority w:val="99"/>
    <w:semiHidden/>
    <w:unhideWhenUsed/>
    <w:rsid w:val="00FD17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1742"/>
    <w:rPr>
      <w:rFonts w:eastAsiaTheme="minorEastAsia"/>
      <w:sz w:val="20"/>
      <w:szCs w:val="20"/>
    </w:rPr>
  </w:style>
  <w:style w:type="character" w:styleId="FootnoteReference">
    <w:name w:val="footnote reference"/>
    <w:basedOn w:val="DefaultParagraphFont"/>
    <w:uiPriority w:val="99"/>
    <w:semiHidden/>
    <w:unhideWhenUsed/>
    <w:rsid w:val="00FD1742"/>
    <w:rPr>
      <w:vertAlign w:val="superscript"/>
    </w:rPr>
  </w:style>
  <w:style w:type="character" w:customStyle="1" w:styleId="Heading2Char">
    <w:name w:val="Heading 2 Char"/>
    <w:basedOn w:val="DefaultParagraphFont"/>
    <w:link w:val="Heading2"/>
    <w:uiPriority w:val="9"/>
    <w:rsid w:val="00ED3A7D"/>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ED3A7D"/>
  </w:style>
  <w:style w:type="character" w:styleId="Strong">
    <w:name w:val="Strong"/>
    <w:basedOn w:val="DefaultParagraphFont"/>
    <w:uiPriority w:val="22"/>
    <w:qFormat/>
    <w:rsid w:val="00ED3A7D"/>
    <w:rPr>
      <w:b/>
      <w:bCs/>
    </w:rPr>
  </w:style>
  <w:style w:type="table" w:styleId="TableGrid">
    <w:name w:val="Table Grid"/>
    <w:basedOn w:val="TableNormal"/>
    <w:uiPriority w:val="59"/>
    <w:rsid w:val="00ED3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2400">
      <w:bodyDiv w:val="1"/>
      <w:marLeft w:val="0"/>
      <w:marRight w:val="0"/>
      <w:marTop w:val="0"/>
      <w:marBottom w:val="0"/>
      <w:divBdr>
        <w:top w:val="none" w:sz="0" w:space="0" w:color="auto"/>
        <w:left w:val="none" w:sz="0" w:space="0" w:color="auto"/>
        <w:bottom w:val="none" w:sz="0" w:space="0" w:color="auto"/>
        <w:right w:val="none" w:sz="0" w:space="0" w:color="auto"/>
      </w:divBdr>
    </w:div>
    <w:div w:id="84348195">
      <w:bodyDiv w:val="1"/>
      <w:marLeft w:val="0"/>
      <w:marRight w:val="0"/>
      <w:marTop w:val="0"/>
      <w:marBottom w:val="0"/>
      <w:divBdr>
        <w:top w:val="none" w:sz="0" w:space="0" w:color="auto"/>
        <w:left w:val="none" w:sz="0" w:space="0" w:color="auto"/>
        <w:bottom w:val="none" w:sz="0" w:space="0" w:color="auto"/>
        <w:right w:val="none" w:sz="0" w:space="0" w:color="auto"/>
      </w:divBdr>
    </w:div>
    <w:div w:id="372778938">
      <w:bodyDiv w:val="1"/>
      <w:marLeft w:val="0"/>
      <w:marRight w:val="0"/>
      <w:marTop w:val="0"/>
      <w:marBottom w:val="0"/>
      <w:divBdr>
        <w:top w:val="none" w:sz="0" w:space="0" w:color="auto"/>
        <w:left w:val="none" w:sz="0" w:space="0" w:color="auto"/>
        <w:bottom w:val="none" w:sz="0" w:space="0" w:color="auto"/>
        <w:right w:val="none" w:sz="0" w:space="0" w:color="auto"/>
      </w:divBdr>
    </w:div>
    <w:div w:id="888106619">
      <w:bodyDiv w:val="1"/>
      <w:marLeft w:val="0"/>
      <w:marRight w:val="0"/>
      <w:marTop w:val="0"/>
      <w:marBottom w:val="0"/>
      <w:divBdr>
        <w:top w:val="none" w:sz="0" w:space="0" w:color="auto"/>
        <w:left w:val="none" w:sz="0" w:space="0" w:color="auto"/>
        <w:bottom w:val="none" w:sz="0" w:space="0" w:color="auto"/>
        <w:right w:val="none" w:sz="0" w:space="0" w:color="auto"/>
      </w:divBdr>
    </w:div>
    <w:div w:id="933629162">
      <w:bodyDiv w:val="1"/>
      <w:marLeft w:val="0"/>
      <w:marRight w:val="0"/>
      <w:marTop w:val="0"/>
      <w:marBottom w:val="0"/>
      <w:divBdr>
        <w:top w:val="none" w:sz="0" w:space="0" w:color="auto"/>
        <w:left w:val="none" w:sz="0" w:space="0" w:color="auto"/>
        <w:bottom w:val="none" w:sz="0" w:space="0" w:color="auto"/>
        <w:right w:val="none" w:sz="0" w:space="0" w:color="auto"/>
      </w:divBdr>
    </w:div>
    <w:div w:id="1016233346">
      <w:bodyDiv w:val="1"/>
      <w:marLeft w:val="0"/>
      <w:marRight w:val="0"/>
      <w:marTop w:val="0"/>
      <w:marBottom w:val="0"/>
      <w:divBdr>
        <w:top w:val="none" w:sz="0" w:space="0" w:color="auto"/>
        <w:left w:val="none" w:sz="0" w:space="0" w:color="auto"/>
        <w:bottom w:val="none" w:sz="0" w:space="0" w:color="auto"/>
        <w:right w:val="none" w:sz="0" w:space="0" w:color="auto"/>
      </w:divBdr>
    </w:div>
    <w:div w:id="1031539827">
      <w:bodyDiv w:val="1"/>
      <w:marLeft w:val="0"/>
      <w:marRight w:val="0"/>
      <w:marTop w:val="0"/>
      <w:marBottom w:val="0"/>
      <w:divBdr>
        <w:top w:val="none" w:sz="0" w:space="0" w:color="auto"/>
        <w:left w:val="none" w:sz="0" w:space="0" w:color="auto"/>
        <w:bottom w:val="none" w:sz="0" w:space="0" w:color="auto"/>
        <w:right w:val="none" w:sz="0" w:space="0" w:color="auto"/>
      </w:divBdr>
      <w:divsChild>
        <w:div w:id="1561676710">
          <w:marLeft w:val="360"/>
          <w:marRight w:val="0"/>
          <w:marTop w:val="106"/>
          <w:marBottom w:val="60"/>
          <w:divBdr>
            <w:top w:val="none" w:sz="0" w:space="0" w:color="auto"/>
            <w:left w:val="none" w:sz="0" w:space="0" w:color="auto"/>
            <w:bottom w:val="none" w:sz="0" w:space="0" w:color="auto"/>
            <w:right w:val="none" w:sz="0" w:space="0" w:color="auto"/>
          </w:divBdr>
        </w:div>
        <w:div w:id="354581371">
          <w:marLeft w:val="360"/>
          <w:marRight w:val="0"/>
          <w:marTop w:val="106"/>
          <w:marBottom w:val="60"/>
          <w:divBdr>
            <w:top w:val="none" w:sz="0" w:space="0" w:color="auto"/>
            <w:left w:val="none" w:sz="0" w:space="0" w:color="auto"/>
            <w:bottom w:val="none" w:sz="0" w:space="0" w:color="auto"/>
            <w:right w:val="none" w:sz="0" w:space="0" w:color="auto"/>
          </w:divBdr>
        </w:div>
        <w:div w:id="1721395494">
          <w:marLeft w:val="360"/>
          <w:marRight w:val="0"/>
          <w:marTop w:val="106"/>
          <w:marBottom w:val="60"/>
          <w:divBdr>
            <w:top w:val="none" w:sz="0" w:space="0" w:color="auto"/>
            <w:left w:val="none" w:sz="0" w:space="0" w:color="auto"/>
            <w:bottom w:val="none" w:sz="0" w:space="0" w:color="auto"/>
            <w:right w:val="none" w:sz="0" w:space="0" w:color="auto"/>
          </w:divBdr>
        </w:div>
        <w:div w:id="1529562036">
          <w:marLeft w:val="360"/>
          <w:marRight w:val="0"/>
          <w:marTop w:val="106"/>
          <w:marBottom w:val="60"/>
          <w:divBdr>
            <w:top w:val="none" w:sz="0" w:space="0" w:color="auto"/>
            <w:left w:val="none" w:sz="0" w:space="0" w:color="auto"/>
            <w:bottom w:val="none" w:sz="0" w:space="0" w:color="auto"/>
            <w:right w:val="none" w:sz="0" w:space="0" w:color="auto"/>
          </w:divBdr>
        </w:div>
        <w:div w:id="1571883650">
          <w:marLeft w:val="360"/>
          <w:marRight w:val="0"/>
          <w:marTop w:val="106"/>
          <w:marBottom w:val="60"/>
          <w:divBdr>
            <w:top w:val="none" w:sz="0" w:space="0" w:color="auto"/>
            <w:left w:val="none" w:sz="0" w:space="0" w:color="auto"/>
            <w:bottom w:val="none" w:sz="0" w:space="0" w:color="auto"/>
            <w:right w:val="none" w:sz="0" w:space="0" w:color="auto"/>
          </w:divBdr>
        </w:div>
        <w:div w:id="151992247">
          <w:marLeft w:val="360"/>
          <w:marRight w:val="0"/>
          <w:marTop w:val="106"/>
          <w:marBottom w:val="60"/>
          <w:divBdr>
            <w:top w:val="none" w:sz="0" w:space="0" w:color="auto"/>
            <w:left w:val="none" w:sz="0" w:space="0" w:color="auto"/>
            <w:bottom w:val="none" w:sz="0" w:space="0" w:color="auto"/>
            <w:right w:val="none" w:sz="0" w:space="0" w:color="auto"/>
          </w:divBdr>
        </w:div>
        <w:div w:id="2040935179">
          <w:marLeft w:val="360"/>
          <w:marRight w:val="0"/>
          <w:marTop w:val="106"/>
          <w:marBottom w:val="60"/>
          <w:divBdr>
            <w:top w:val="none" w:sz="0" w:space="0" w:color="auto"/>
            <w:left w:val="none" w:sz="0" w:space="0" w:color="auto"/>
            <w:bottom w:val="none" w:sz="0" w:space="0" w:color="auto"/>
            <w:right w:val="none" w:sz="0" w:space="0" w:color="auto"/>
          </w:divBdr>
        </w:div>
        <w:div w:id="1266578925">
          <w:marLeft w:val="360"/>
          <w:marRight w:val="0"/>
          <w:marTop w:val="106"/>
          <w:marBottom w:val="60"/>
          <w:divBdr>
            <w:top w:val="none" w:sz="0" w:space="0" w:color="auto"/>
            <w:left w:val="none" w:sz="0" w:space="0" w:color="auto"/>
            <w:bottom w:val="none" w:sz="0" w:space="0" w:color="auto"/>
            <w:right w:val="none" w:sz="0" w:space="0" w:color="auto"/>
          </w:divBdr>
        </w:div>
      </w:divsChild>
    </w:div>
    <w:div w:id="1100494721">
      <w:bodyDiv w:val="1"/>
      <w:marLeft w:val="0"/>
      <w:marRight w:val="0"/>
      <w:marTop w:val="0"/>
      <w:marBottom w:val="0"/>
      <w:divBdr>
        <w:top w:val="none" w:sz="0" w:space="0" w:color="auto"/>
        <w:left w:val="none" w:sz="0" w:space="0" w:color="auto"/>
        <w:bottom w:val="none" w:sz="0" w:space="0" w:color="auto"/>
        <w:right w:val="none" w:sz="0" w:space="0" w:color="auto"/>
      </w:divBdr>
    </w:div>
    <w:div w:id="1963028273">
      <w:bodyDiv w:val="1"/>
      <w:marLeft w:val="0"/>
      <w:marRight w:val="0"/>
      <w:marTop w:val="0"/>
      <w:marBottom w:val="0"/>
      <w:divBdr>
        <w:top w:val="none" w:sz="0" w:space="0" w:color="auto"/>
        <w:left w:val="none" w:sz="0" w:space="0" w:color="auto"/>
        <w:bottom w:val="none" w:sz="0" w:space="0" w:color="auto"/>
        <w:right w:val="none" w:sz="0" w:space="0" w:color="auto"/>
      </w:divBdr>
    </w:div>
    <w:div w:id="2038047022">
      <w:bodyDiv w:val="1"/>
      <w:marLeft w:val="0"/>
      <w:marRight w:val="0"/>
      <w:marTop w:val="0"/>
      <w:marBottom w:val="0"/>
      <w:divBdr>
        <w:top w:val="none" w:sz="0" w:space="0" w:color="auto"/>
        <w:left w:val="none" w:sz="0" w:space="0" w:color="auto"/>
        <w:bottom w:val="none" w:sz="0" w:space="0" w:color="auto"/>
        <w:right w:val="none" w:sz="0" w:space="0" w:color="auto"/>
      </w:divBdr>
    </w:div>
    <w:div w:id="21421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package" Target="embeddings/Microsoft_Excel_Worksheet3.xlsx"/><Relationship Id="rId10" Type="http://schemas.openxmlformats.org/officeDocument/2006/relationships/chart" Target="charts/chart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8" Type="http://schemas.openxmlformats.org/officeDocument/2006/relationships/hyperlink" Target="http://neurologiepediatrica.ro/wp-content/uploads/2010/07/Ghid_examene_radiologice_imagistice.pdf" TargetMode="External"/><Relationship Id="rId13" Type="http://schemas.openxmlformats.org/officeDocument/2006/relationships/hyperlink" Target="https://lege5.ro/Gratuit/gi3tgmjzgiyq/legea-nr-63-2018-pentru-modificarea-si-completarea-legii-nr-111-1996-privind-desfasurarea-in-siguranta-reglementarea-autorizarea-si-controlul-activitatilor-nucleare" TargetMode="External"/><Relationship Id="rId3" Type="http://schemas.openxmlformats.org/officeDocument/2006/relationships/hyperlink" Target="http://www.who.int/ionizing_radiation/medical_radiation_exposure/global-initiative/en/" TargetMode="External"/><Relationship Id="rId7" Type="http://schemas.openxmlformats.org/officeDocument/2006/relationships/hyperlink" Target="https://www.ncbi.nlm.nih.gov/pmc/articles/PMC5046964/pdf/ijspt-11-708.pdf" TargetMode="External"/><Relationship Id="rId12" Type="http://schemas.openxmlformats.org/officeDocument/2006/relationships/hyperlink" Target="https://eur-lex.europa.eu/legal-content/RO/TXT/HTML/?uri=CELEX:31997L0043&amp;from=RO" TargetMode="External"/><Relationship Id="rId2" Type="http://schemas.openxmlformats.org/officeDocument/2006/relationships/hyperlink" Target="http://www.who.int/news-room/feature-stories/detail/to-x-ray-or-not-to-x-ray" TargetMode="External"/><Relationship Id="rId1" Type="http://schemas.openxmlformats.org/officeDocument/2006/relationships/hyperlink" Target="https://www.internationaldayofradiology.com/about-idor/" TargetMode="External"/><Relationship Id="rId6" Type="http://schemas.openxmlformats.org/officeDocument/2006/relationships/hyperlink" Target="https://data.oecd.org/healthcare/magnetic-resonance-imaging-mri-exams.htm" TargetMode="External"/><Relationship Id="rId11" Type="http://schemas.openxmlformats.org/officeDocument/2006/relationships/hyperlink" Target="http://www.cncan.ro/assets/Legislatie/Legislatie-comunitara/DIRECTIVA-2013-59-EURATOM-ro.pdf" TargetMode="External"/><Relationship Id="rId5" Type="http://schemas.openxmlformats.org/officeDocument/2006/relationships/hyperlink" Target="https://data.oecd.org/healthcare/computed-tomography-ct-exams.htm" TargetMode="External"/><Relationship Id="rId15" Type="http://schemas.openxmlformats.org/officeDocument/2006/relationships/hyperlink" Target="http://www.legislation.gov.uk/uksi/2017/1322/pdfs/uksi_20171322_en.pdf" TargetMode="External"/><Relationship Id="rId10" Type="http://schemas.openxmlformats.org/officeDocument/2006/relationships/hyperlink" Target="https://ec.europa.eu/energy/en/topics/nuclear-energy/radiation-protection/radiation-medical-use" TargetMode="External"/><Relationship Id="rId4" Type="http://schemas.openxmlformats.org/officeDocument/2006/relationships/hyperlink" Target="http://www.who.int/ionizing_radiation/about/GI_TM_Report_2008_Dec.pdf?ua=1" TargetMode="External"/><Relationship Id="rId9" Type="http://schemas.openxmlformats.org/officeDocument/2006/relationships/hyperlink" Target="https://eu-csite-storage-prod.s3.amazonaws.com/www-cirse-org/files/files/Patient%20Awareness%20Brochures/Cirse_2011_IR_Romanian.pdf" TargetMode="External"/><Relationship Id="rId14" Type="http://schemas.openxmlformats.org/officeDocument/2006/relationships/hyperlink" Target="https://ec.europa.eu/energy/sites/ener/files/documents/178.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SP\Documents\ZIUA%20INTERNAT%20RADIOLOGIEI\GRAFICE%20RX.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oleObject" Target="file:///C:\Users\ISP\Documents\ZIUA%20INTERNAT%20RADIOLOGIEI\ZIUA%20RX%202019\Proceduri_2008_2017_CT_RAD_RMN.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ISP\Documents\ZIUA%20INTERNAT%20RADIOLOGIEI\GRAFICE%20R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a:t>Numar CT la 1 milion locuitori in</a:t>
            </a:r>
            <a:r>
              <a:rPr lang="en-US" sz="1600" baseline="0"/>
              <a:t> tarile OECD</a:t>
            </a:r>
            <a:endParaRPr lang="en-US" sz="1600"/>
          </a:p>
        </c:rich>
      </c:tx>
      <c:overlay val="0"/>
    </c:title>
    <c:autoTitleDeleted val="0"/>
    <c:plotArea>
      <c:layout/>
      <c:barChart>
        <c:barDir val="bar"/>
        <c:grouping val="clustered"/>
        <c:varyColors val="0"/>
        <c:ser>
          <c:idx val="0"/>
          <c:order val="0"/>
          <c:tx>
            <c:strRef>
              <c:f>Sheet1!$D$3</c:f>
              <c:strCache>
                <c:ptCount val="1"/>
                <c:pt idx="0">
                  <c:v>Numar CT la 1milion locuitori</c:v>
                </c:pt>
              </c:strCache>
            </c:strRef>
          </c:tx>
          <c:invertIfNegative val="0"/>
          <c:dLbls>
            <c:showLegendKey val="0"/>
            <c:showVal val="1"/>
            <c:showCatName val="0"/>
            <c:showSerName val="0"/>
            <c:showPercent val="0"/>
            <c:showBubbleSize val="0"/>
            <c:showLeaderLines val="0"/>
          </c:dLbls>
          <c:cat>
            <c:strRef>
              <c:f>Sheet1!$C$4:$C$32</c:f>
              <c:strCache>
                <c:ptCount val="29"/>
                <c:pt idx="0">
                  <c:v>Japonia</c:v>
                </c:pt>
                <c:pt idx="1">
                  <c:v>Australia</c:v>
                </c:pt>
                <c:pt idx="2">
                  <c:v>SUA</c:v>
                </c:pt>
                <c:pt idx="3">
                  <c:v>Coreea</c:v>
                </c:pt>
                <c:pt idx="4">
                  <c:v>Belgia</c:v>
                </c:pt>
                <c:pt idx="5">
                  <c:v>Austria</c:v>
                </c:pt>
                <c:pt idx="6">
                  <c:v>Luxemburg</c:v>
                </c:pt>
                <c:pt idx="7">
                  <c:v>Italia</c:v>
                </c:pt>
                <c:pt idx="8">
                  <c:v>Portugalia</c:v>
                </c:pt>
                <c:pt idx="9">
                  <c:v>Grecia</c:v>
                </c:pt>
                <c:pt idx="10">
                  <c:v>Islanda</c:v>
                </c:pt>
                <c:pt idx="11">
                  <c:v>Tarile OECD*</c:v>
                </c:pt>
                <c:pt idx="12">
                  <c:v>Elvetia</c:v>
                </c:pt>
                <c:pt idx="13">
                  <c:v>Germania</c:v>
                </c:pt>
                <c:pt idx="14">
                  <c:v>Finlanda</c:v>
                </c:pt>
                <c:pt idx="15">
                  <c:v>Danemarca</c:v>
                </c:pt>
                <c:pt idx="16">
                  <c:v>Spania</c:v>
                </c:pt>
                <c:pt idx="17">
                  <c:v>Cehia</c:v>
                </c:pt>
                <c:pt idx="18">
                  <c:v>Noua Zeelanda</c:v>
                </c:pt>
                <c:pt idx="19">
                  <c:v>Slovacia</c:v>
                </c:pt>
                <c:pt idx="20">
                  <c:v>Canada</c:v>
                </c:pt>
                <c:pt idx="21">
                  <c:v>Irlanda</c:v>
                </c:pt>
                <c:pt idx="22">
                  <c:v>Franta</c:v>
                </c:pt>
                <c:pt idx="23">
                  <c:v>Polonia</c:v>
                </c:pt>
                <c:pt idx="24">
                  <c:v>Anglia</c:v>
                </c:pt>
                <c:pt idx="25">
                  <c:v>Turcia</c:v>
                </c:pt>
                <c:pt idx="26">
                  <c:v>Ungaria</c:v>
                </c:pt>
                <c:pt idx="27">
                  <c:v>Olanda</c:v>
                </c:pt>
                <c:pt idx="28">
                  <c:v>Mexic</c:v>
                </c:pt>
              </c:strCache>
            </c:strRef>
          </c:cat>
          <c:val>
            <c:numRef>
              <c:f>Sheet1!$D$4:$D$32</c:f>
              <c:numCache>
                <c:formatCode>General</c:formatCode>
                <c:ptCount val="29"/>
                <c:pt idx="0">
                  <c:v>92.6</c:v>
                </c:pt>
                <c:pt idx="1">
                  <c:v>45.3</c:v>
                </c:pt>
                <c:pt idx="2">
                  <c:v>32.200000000000003</c:v>
                </c:pt>
                <c:pt idx="3">
                  <c:v>32.200000000000003</c:v>
                </c:pt>
                <c:pt idx="4">
                  <c:v>31.6</c:v>
                </c:pt>
                <c:pt idx="5">
                  <c:v>29.4</c:v>
                </c:pt>
                <c:pt idx="6">
                  <c:v>28.6</c:v>
                </c:pt>
                <c:pt idx="7">
                  <c:v>27.7</c:v>
                </c:pt>
                <c:pt idx="8">
                  <c:v>26.2</c:v>
                </c:pt>
                <c:pt idx="9">
                  <c:v>25.8</c:v>
                </c:pt>
                <c:pt idx="10">
                  <c:v>23.7</c:v>
                </c:pt>
                <c:pt idx="11">
                  <c:v>20.6</c:v>
                </c:pt>
                <c:pt idx="12">
                  <c:v>18.2</c:v>
                </c:pt>
                <c:pt idx="13">
                  <c:v>15.4</c:v>
                </c:pt>
                <c:pt idx="14">
                  <c:v>14.7</c:v>
                </c:pt>
                <c:pt idx="15">
                  <c:v>13.8</c:v>
                </c:pt>
                <c:pt idx="16">
                  <c:v>13.5</c:v>
                </c:pt>
                <c:pt idx="17">
                  <c:v>12.3</c:v>
                </c:pt>
                <c:pt idx="18">
                  <c:v>12.1</c:v>
                </c:pt>
                <c:pt idx="19">
                  <c:v>11.3</c:v>
                </c:pt>
                <c:pt idx="20">
                  <c:v>11.2</c:v>
                </c:pt>
                <c:pt idx="21">
                  <c:v>10.7</c:v>
                </c:pt>
                <c:pt idx="22">
                  <c:v>9.8000000000000007</c:v>
                </c:pt>
                <c:pt idx="23">
                  <c:v>7.9</c:v>
                </c:pt>
                <c:pt idx="24">
                  <c:v>7.5</c:v>
                </c:pt>
                <c:pt idx="25">
                  <c:v>7.3</c:v>
                </c:pt>
                <c:pt idx="26">
                  <c:v>7.1</c:v>
                </c:pt>
                <c:pt idx="27">
                  <c:v>5.8</c:v>
                </c:pt>
                <c:pt idx="28">
                  <c:v>3.4</c:v>
                </c:pt>
              </c:numCache>
            </c:numRef>
          </c:val>
        </c:ser>
        <c:dLbls>
          <c:showLegendKey val="0"/>
          <c:showVal val="0"/>
          <c:showCatName val="0"/>
          <c:showSerName val="0"/>
          <c:showPercent val="0"/>
          <c:showBubbleSize val="0"/>
        </c:dLbls>
        <c:gapWidth val="150"/>
        <c:axId val="39996800"/>
        <c:axId val="40097664"/>
      </c:barChart>
      <c:catAx>
        <c:axId val="39996800"/>
        <c:scaling>
          <c:orientation val="minMax"/>
        </c:scaling>
        <c:delete val="0"/>
        <c:axPos val="l"/>
        <c:majorTickMark val="out"/>
        <c:minorTickMark val="none"/>
        <c:tickLblPos val="nextTo"/>
        <c:crossAx val="40097664"/>
        <c:crosses val="autoZero"/>
        <c:auto val="1"/>
        <c:lblAlgn val="ctr"/>
        <c:lblOffset val="100"/>
        <c:noMultiLvlLbl val="0"/>
      </c:catAx>
      <c:valAx>
        <c:axId val="40097664"/>
        <c:scaling>
          <c:orientation val="minMax"/>
        </c:scaling>
        <c:delete val="0"/>
        <c:axPos val="b"/>
        <c:majorGridlines>
          <c:spPr>
            <a:ln>
              <a:noFill/>
            </a:ln>
          </c:spPr>
        </c:majorGridlines>
        <c:numFmt formatCode="General" sourceLinked="1"/>
        <c:majorTickMark val="out"/>
        <c:minorTickMark val="none"/>
        <c:tickLblPos val="nextTo"/>
        <c:crossAx val="3999680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Sheet1!$G$45</c:f>
              <c:strCache>
                <c:ptCount val="1"/>
                <c:pt idx="0">
                  <c:v>nr. Exam</c:v>
                </c:pt>
              </c:strCache>
            </c:strRef>
          </c:tx>
          <c:spPr>
            <a:solidFill>
              <a:schemeClr val="accent6">
                <a:lumMod val="50000"/>
              </a:schemeClr>
            </a:solidFill>
          </c:spPr>
          <c:invertIfNegative val="0"/>
          <c:dLbls>
            <c:showLegendKey val="0"/>
            <c:showVal val="1"/>
            <c:showCatName val="0"/>
            <c:showSerName val="0"/>
            <c:showPercent val="0"/>
            <c:showBubbleSize val="0"/>
            <c:showLeaderLines val="0"/>
          </c:dLbls>
          <c:cat>
            <c:strRef>
              <c:f>Sheet1!$F$46:$F$55</c:f>
              <c:strCache>
                <c:ptCount val="10"/>
                <c:pt idx="0">
                  <c:v>Rx capului sau gatului</c:v>
                </c:pt>
                <c:pt idx="1">
                  <c:v>Rx col. vertebrala 2 regiuni</c:v>
                </c:pt>
                <c:pt idx="2">
                  <c:v>Rx col. vertebrala intreaga</c:v>
                </c:pt>
                <c:pt idx="3">
                  <c:v>Rx  umar</c:v>
                </c:pt>
                <c:pt idx="4">
                  <c:v>Rx mb. superior</c:v>
                </c:pt>
                <c:pt idx="5">
                  <c:v>Rx stern sau coaste</c:v>
                </c:pt>
                <c:pt idx="6">
                  <c:v>Alte radiografii toracice</c:v>
                </c:pt>
                <c:pt idx="7">
                  <c:v>Rx mb. inferior</c:v>
                </c:pt>
                <c:pt idx="8">
                  <c:v>Studii osoase</c:v>
                </c:pt>
                <c:pt idx="9">
                  <c:v>Rx intregului schelet</c:v>
                </c:pt>
              </c:strCache>
            </c:strRef>
          </c:cat>
          <c:val>
            <c:numRef>
              <c:f>Sheet1!$G$46:$G$55</c:f>
              <c:numCache>
                <c:formatCode>General</c:formatCode>
                <c:ptCount val="10"/>
                <c:pt idx="0">
                  <c:v>57406</c:v>
                </c:pt>
                <c:pt idx="1">
                  <c:v>187196</c:v>
                </c:pt>
                <c:pt idx="2">
                  <c:v>16980</c:v>
                </c:pt>
                <c:pt idx="3">
                  <c:v>19077</c:v>
                </c:pt>
                <c:pt idx="4">
                  <c:v>66009</c:v>
                </c:pt>
                <c:pt idx="5">
                  <c:v>9152</c:v>
                </c:pt>
                <c:pt idx="6">
                  <c:v>1061580</c:v>
                </c:pt>
                <c:pt idx="7">
                  <c:v>140803</c:v>
                </c:pt>
                <c:pt idx="8">
                  <c:v>19664</c:v>
                </c:pt>
                <c:pt idx="9">
                  <c:v>3694</c:v>
                </c:pt>
              </c:numCache>
            </c:numRef>
          </c:val>
        </c:ser>
        <c:dLbls>
          <c:showLegendKey val="0"/>
          <c:showVal val="0"/>
          <c:showCatName val="0"/>
          <c:showSerName val="0"/>
          <c:showPercent val="0"/>
          <c:showBubbleSize val="0"/>
        </c:dLbls>
        <c:gapWidth val="150"/>
        <c:axId val="75342592"/>
        <c:axId val="75344512"/>
      </c:barChart>
      <c:catAx>
        <c:axId val="75342592"/>
        <c:scaling>
          <c:orientation val="minMax"/>
        </c:scaling>
        <c:delete val="0"/>
        <c:axPos val="l"/>
        <c:majorTickMark val="out"/>
        <c:minorTickMark val="none"/>
        <c:tickLblPos val="nextTo"/>
        <c:txPr>
          <a:bodyPr/>
          <a:lstStyle/>
          <a:p>
            <a:pPr>
              <a:defRPr b="1"/>
            </a:pPr>
            <a:endParaRPr lang="en-US"/>
          </a:p>
        </c:txPr>
        <c:crossAx val="75344512"/>
        <c:crosses val="autoZero"/>
        <c:auto val="1"/>
        <c:lblAlgn val="ctr"/>
        <c:lblOffset val="100"/>
        <c:noMultiLvlLbl val="0"/>
      </c:catAx>
      <c:valAx>
        <c:axId val="75344512"/>
        <c:scaling>
          <c:orientation val="minMax"/>
        </c:scaling>
        <c:delete val="0"/>
        <c:axPos val="b"/>
        <c:majorGridlines/>
        <c:numFmt formatCode="General" sourceLinked="1"/>
        <c:majorTickMark val="out"/>
        <c:minorTickMark val="none"/>
        <c:tickLblPos val="nextTo"/>
        <c:crossAx val="7534259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Sheet1!$Q$8</c:f>
              <c:strCache>
                <c:ptCount val="1"/>
                <c:pt idx="0">
                  <c:v>Total CT musculoscheletale</c:v>
                </c:pt>
              </c:strCache>
            </c:strRef>
          </c:tx>
          <c:spPr>
            <a:solidFill>
              <a:schemeClr val="accent6">
                <a:lumMod val="75000"/>
              </a:schemeClr>
            </a:solidFill>
          </c:spPr>
          <c:invertIfNegative val="0"/>
          <c:dLbls>
            <c:txPr>
              <a:bodyPr/>
              <a:lstStyle/>
              <a:p>
                <a:pPr>
                  <a:defRPr b="1"/>
                </a:pPr>
                <a:endParaRPr lang="en-US"/>
              </a:p>
            </c:txPr>
            <c:showLegendKey val="0"/>
            <c:showVal val="1"/>
            <c:showCatName val="0"/>
            <c:showSerName val="0"/>
            <c:showPercent val="0"/>
            <c:showBubbleSize val="0"/>
            <c:showLeaderLines val="0"/>
          </c:dLbls>
          <c:cat>
            <c:numRef>
              <c:f>Sheet1!$R$7:$S$7</c:f>
              <c:numCache>
                <c:formatCode>General</c:formatCode>
                <c:ptCount val="2"/>
                <c:pt idx="0">
                  <c:v>2008</c:v>
                </c:pt>
                <c:pt idx="1">
                  <c:v>2017</c:v>
                </c:pt>
              </c:numCache>
            </c:numRef>
          </c:cat>
          <c:val>
            <c:numRef>
              <c:f>Sheet1!$R$8:$S$8</c:f>
              <c:numCache>
                <c:formatCode>General</c:formatCode>
                <c:ptCount val="2"/>
                <c:pt idx="0">
                  <c:v>79531</c:v>
                </c:pt>
                <c:pt idx="1">
                  <c:v>185237</c:v>
                </c:pt>
              </c:numCache>
            </c:numRef>
          </c:val>
        </c:ser>
        <c:ser>
          <c:idx val="1"/>
          <c:order val="1"/>
          <c:tx>
            <c:strRef>
              <c:f>Sheet1!$Q$9</c:f>
              <c:strCache>
                <c:ptCount val="1"/>
                <c:pt idx="0">
                  <c:v>Total RMN musculoscheletale</c:v>
                </c:pt>
              </c:strCache>
            </c:strRef>
          </c:tx>
          <c:invertIfNegative val="0"/>
          <c:dLbls>
            <c:txPr>
              <a:bodyPr/>
              <a:lstStyle/>
              <a:p>
                <a:pPr>
                  <a:defRPr b="1"/>
                </a:pPr>
                <a:endParaRPr lang="en-US"/>
              </a:p>
            </c:txPr>
            <c:showLegendKey val="0"/>
            <c:showVal val="1"/>
            <c:showCatName val="0"/>
            <c:showSerName val="0"/>
            <c:showPercent val="0"/>
            <c:showBubbleSize val="0"/>
            <c:showLeaderLines val="0"/>
          </c:dLbls>
          <c:cat>
            <c:numRef>
              <c:f>Sheet1!$R$7:$S$7</c:f>
              <c:numCache>
                <c:formatCode>General</c:formatCode>
                <c:ptCount val="2"/>
                <c:pt idx="0">
                  <c:v>2008</c:v>
                </c:pt>
                <c:pt idx="1">
                  <c:v>2017</c:v>
                </c:pt>
              </c:numCache>
            </c:numRef>
          </c:cat>
          <c:val>
            <c:numRef>
              <c:f>Sheet1!$R$9:$S$9</c:f>
              <c:numCache>
                <c:formatCode>General</c:formatCode>
                <c:ptCount val="2"/>
                <c:pt idx="0">
                  <c:v>30420</c:v>
                </c:pt>
                <c:pt idx="1">
                  <c:v>49929</c:v>
                </c:pt>
              </c:numCache>
            </c:numRef>
          </c:val>
        </c:ser>
        <c:dLbls>
          <c:showLegendKey val="0"/>
          <c:showVal val="0"/>
          <c:showCatName val="0"/>
          <c:showSerName val="0"/>
          <c:showPercent val="0"/>
          <c:showBubbleSize val="0"/>
        </c:dLbls>
        <c:gapWidth val="150"/>
        <c:axId val="79379072"/>
        <c:axId val="79397248"/>
      </c:barChart>
      <c:catAx>
        <c:axId val="79379072"/>
        <c:scaling>
          <c:orientation val="minMax"/>
        </c:scaling>
        <c:delete val="0"/>
        <c:axPos val="b"/>
        <c:numFmt formatCode="General" sourceLinked="1"/>
        <c:majorTickMark val="out"/>
        <c:minorTickMark val="none"/>
        <c:tickLblPos val="nextTo"/>
        <c:txPr>
          <a:bodyPr/>
          <a:lstStyle/>
          <a:p>
            <a:pPr>
              <a:defRPr b="1"/>
            </a:pPr>
            <a:endParaRPr lang="en-US"/>
          </a:p>
        </c:txPr>
        <c:crossAx val="79397248"/>
        <c:crosses val="autoZero"/>
        <c:auto val="1"/>
        <c:lblAlgn val="ctr"/>
        <c:lblOffset val="100"/>
        <c:noMultiLvlLbl val="0"/>
      </c:catAx>
      <c:valAx>
        <c:axId val="79397248"/>
        <c:scaling>
          <c:orientation val="minMax"/>
        </c:scaling>
        <c:delete val="0"/>
        <c:axPos val="l"/>
        <c:majorGridlines/>
        <c:numFmt formatCode="General" sourceLinked="1"/>
        <c:majorTickMark val="out"/>
        <c:minorTickMark val="none"/>
        <c:tickLblPos val="nextTo"/>
        <c:crossAx val="79379072"/>
        <c:crosses val="autoZero"/>
        <c:crossBetween val="between"/>
      </c:valAx>
    </c:plotArea>
    <c:legend>
      <c:legendPos val="b"/>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Sheet1!$C$46:$D$46</c:f>
              <c:strCache>
                <c:ptCount val="1"/>
                <c:pt idx="0">
                  <c:v>Ecografii</c:v>
                </c:pt>
              </c:strCache>
            </c:strRef>
          </c:tx>
          <c:invertIfNegative val="0"/>
          <c:cat>
            <c:numRef>
              <c:f>Sheet1!$E$45:$O$45</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Sheet1!$E$46:$O$46</c:f>
              <c:numCache>
                <c:formatCode>0</c:formatCode>
                <c:ptCount val="11"/>
                <c:pt idx="0">
                  <c:v>1522947</c:v>
                </c:pt>
                <c:pt idx="1">
                  <c:v>1612854</c:v>
                </c:pt>
                <c:pt idx="2">
                  <c:v>1690367</c:v>
                </c:pt>
                <c:pt idx="3">
                  <c:v>1680307</c:v>
                </c:pt>
                <c:pt idx="4">
                  <c:v>1587912</c:v>
                </c:pt>
                <c:pt idx="5">
                  <c:v>1568960</c:v>
                </c:pt>
                <c:pt idx="6">
                  <c:v>1641573</c:v>
                </c:pt>
                <c:pt idx="7">
                  <c:v>1537469</c:v>
                </c:pt>
                <c:pt idx="8">
                  <c:v>1525393</c:v>
                </c:pt>
                <c:pt idx="9">
                  <c:v>1416940</c:v>
                </c:pt>
                <c:pt idx="10">
                  <c:v>1514291</c:v>
                </c:pt>
              </c:numCache>
            </c:numRef>
          </c:val>
        </c:ser>
        <c:ser>
          <c:idx val="1"/>
          <c:order val="1"/>
          <c:tx>
            <c:strRef>
              <c:f>Sheet1!$C$47:$D$47</c:f>
              <c:strCache>
                <c:ptCount val="1"/>
                <c:pt idx="0">
                  <c:v>Tomografii computerizate  CT</c:v>
                </c:pt>
              </c:strCache>
            </c:strRef>
          </c:tx>
          <c:invertIfNegative val="0"/>
          <c:cat>
            <c:numRef>
              <c:f>Sheet1!$E$45:$O$45</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Sheet1!$E$47:$O$47</c:f>
              <c:numCache>
                <c:formatCode>0</c:formatCode>
                <c:ptCount val="11"/>
                <c:pt idx="0">
                  <c:v>188271</c:v>
                </c:pt>
                <c:pt idx="1">
                  <c:v>208216</c:v>
                </c:pt>
                <c:pt idx="2">
                  <c:v>228053</c:v>
                </c:pt>
                <c:pt idx="3">
                  <c:v>221205</c:v>
                </c:pt>
                <c:pt idx="4">
                  <c:v>230486</c:v>
                </c:pt>
                <c:pt idx="5">
                  <c:v>261318</c:v>
                </c:pt>
                <c:pt idx="6">
                  <c:v>281227</c:v>
                </c:pt>
                <c:pt idx="7">
                  <c:v>276220</c:v>
                </c:pt>
                <c:pt idx="8">
                  <c:v>313936</c:v>
                </c:pt>
                <c:pt idx="9">
                  <c:v>320638</c:v>
                </c:pt>
                <c:pt idx="10">
                  <c:v>362495</c:v>
                </c:pt>
              </c:numCache>
            </c:numRef>
          </c:val>
        </c:ser>
        <c:ser>
          <c:idx val="2"/>
          <c:order val="2"/>
          <c:tx>
            <c:strRef>
              <c:f>Sheet1!$C$48:$D$48</c:f>
              <c:strCache>
                <c:ptCount val="1"/>
                <c:pt idx="0">
                  <c:v>Rezonanta magnetica computerizata  RMN</c:v>
                </c:pt>
              </c:strCache>
            </c:strRef>
          </c:tx>
          <c:invertIfNegative val="0"/>
          <c:cat>
            <c:numRef>
              <c:f>Sheet1!$E$45:$O$45</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Sheet1!$E$48:$O$48</c:f>
              <c:numCache>
                <c:formatCode>0</c:formatCode>
                <c:ptCount val="11"/>
                <c:pt idx="0">
                  <c:v>25203</c:v>
                </c:pt>
                <c:pt idx="1">
                  <c:v>30420</c:v>
                </c:pt>
                <c:pt idx="2">
                  <c:v>37278</c:v>
                </c:pt>
                <c:pt idx="3">
                  <c:v>32539</c:v>
                </c:pt>
                <c:pt idx="4">
                  <c:v>31738</c:v>
                </c:pt>
                <c:pt idx="5">
                  <c:v>33470</c:v>
                </c:pt>
                <c:pt idx="6">
                  <c:v>38413</c:v>
                </c:pt>
                <c:pt idx="7">
                  <c:v>39442</c:v>
                </c:pt>
                <c:pt idx="8">
                  <c:v>46668</c:v>
                </c:pt>
                <c:pt idx="9">
                  <c:v>47132</c:v>
                </c:pt>
                <c:pt idx="10">
                  <c:v>49929</c:v>
                </c:pt>
              </c:numCache>
            </c:numRef>
          </c:val>
        </c:ser>
        <c:ser>
          <c:idx val="3"/>
          <c:order val="3"/>
          <c:tx>
            <c:strRef>
              <c:f>Sheet1!$C$49:$D$49</c:f>
              <c:strCache>
                <c:ptCount val="1"/>
                <c:pt idx="0">
                  <c:v>Radiografii</c:v>
                </c:pt>
              </c:strCache>
            </c:strRef>
          </c:tx>
          <c:invertIfNegative val="0"/>
          <c:cat>
            <c:numRef>
              <c:f>Sheet1!$E$45:$O$45</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Sheet1!$E$49:$O$49</c:f>
              <c:numCache>
                <c:formatCode>0</c:formatCode>
                <c:ptCount val="11"/>
                <c:pt idx="0">
                  <c:v>2490081</c:v>
                </c:pt>
                <c:pt idx="1">
                  <c:v>2569622</c:v>
                </c:pt>
                <c:pt idx="2">
                  <c:v>2584730</c:v>
                </c:pt>
                <c:pt idx="3">
                  <c:v>2409773</c:v>
                </c:pt>
                <c:pt idx="4">
                  <c:v>2115685</c:v>
                </c:pt>
                <c:pt idx="5">
                  <c:v>2057706</c:v>
                </c:pt>
                <c:pt idx="6">
                  <c:v>2078011</c:v>
                </c:pt>
                <c:pt idx="7">
                  <c:v>1925000</c:v>
                </c:pt>
                <c:pt idx="8">
                  <c:v>1898832</c:v>
                </c:pt>
                <c:pt idx="9">
                  <c:v>1750812</c:v>
                </c:pt>
                <c:pt idx="10">
                  <c:v>1826707</c:v>
                </c:pt>
              </c:numCache>
            </c:numRef>
          </c:val>
        </c:ser>
        <c:dLbls>
          <c:showLegendKey val="0"/>
          <c:showVal val="0"/>
          <c:showCatName val="0"/>
          <c:showSerName val="0"/>
          <c:showPercent val="0"/>
          <c:showBubbleSize val="0"/>
        </c:dLbls>
        <c:gapWidth val="150"/>
        <c:axId val="87107840"/>
        <c:axId val="87142400"/>
      </c:barChart>
      <c:catAx>
        <c:axId val="87107840"/>
        <c:scaling>
          <c:orientation val="minMax"/>
        </c:scaling>
        <c:delete val="0"/>
        <c:axPos val="b"/>
        <c:numFmt formatCode="General" sourceLinked="1"/>
        <c:majorTickMark val="out"/>
        <c:minorTickMark val="none"/>
        <c:tickLblPos val="nextTo"/>
        <c:crossAx val="87142400"/>
        <c:crosses val="autoZero"/>
        <c:auto val="1"/>
        <c:lblAlgn val="ctr"/>
        <c:lblOffset val="100"/>
        <c:noMultiLvlLbl val="0"/>
      </c:catAx>
      <c:valAx>
        <c:axId val="87142400"/>
        <c:scaling>
          <c:orientation val="minMax"/>
        </c:scaling>
        <c:delete val="0"/>
        <c:axPos val="l"/>
        <c:majorGridlines/>
        <c:numFmt formatCode="0" sourceLinked="1"/>
        <c:majorTickMark val="out"/>
        <c:minorTickMark val="none"/>
        <c:tickLblPos val="nextTo"/>
        <c:crossAx val="87107840"/>
        <c:crosses val="autoZero"/>
        <c:crossBetween val="between"/>
      </c:valAx>
    </c:plotArea>
    <c:legend>
      <c:legendPos val="b"/>
      <c:overlay val="0"/>
      <c:txPr>
        <a:bodyPr/>
        <a:lstStyle/>
        <a:p>
          <a:pPr>
            <a:defRPr b="1"/>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E2EA32F-8006-414C-A371-77693DE0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3216</Words>
  <Characters>18335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dc:creator>
  <cp:lastModifiedBy>ISP</cp:lastModifiedBy>
  <cp:revision>2</cp:revision>
  <cp:lastPrinted>2018-09-24T08:13:00Z</cp:lastPrinted>
  <dcterms:created xsi:type="dcterms:W3CDTF">2019-10-23T06:58:00Z</dcterms:created>
  <dcterms:modified xsi:type="dcterms:W3CDTF">2019-10-23T06:58:00Z</dcterms:modified>
</cp:coreProperties>
</file>